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91E60" w14:textId="1B5DA3B4" w:rsidR="00436C97" w:rsidRPr="0043025F" w:rsidRDefault="00436C97" w:rsidP="0043025F">
      <w:pPr>
        <w:rPr>
          <w:b/>
          <w:bCs/>
          <w:lang w:val="ro-RO"/>
        </w:rPr>
      </w:pPr>
      <w:r w:rsidRPr="00232D97">
        <w:rPr>
          <w:b/>
          <w:bCs/>
          <w:lang w:val="ro-RO"/>
        </w:rPr>
        <w:t>Învățare și transformare în învățământul superior</w:t>
      </w:r>
      <w:r w:rsidR="00232D97">
        <w:rPr>
          <w:b/>
          <w:bCs/>
          <w:lang w:val="ro-RO"/>
        </w:rPr>
        <w:t xml:space="preserve">. Rolul pedagogiilor inovative </w:t>
      </w:r>
    </w:p>
    <w:p w14:paraId="12762B7C" w14:textId="4BE159AB" w:rsidR="00436C97" w:rsidRPr="00436C97" w:rsidRDefault="00436C97" w:rsidP="0043025F">
      <w:pPr>
        <w:jc w:val="both"/>
        <w:rPr>
          <w:lang w:val="ro-RO"/>
        </w:rPr>
      </w:pPr>
      <w:r w:rsidRPr="00436C97">
        <w:rPr>
          <w:lang w:val="ro-RO"/>
        </w:rPr>
        <w:t xml:space="preserve">Universitățile europene traversează, în prezent, transformări profunde, generate de inițiativa constituirii alianțelor. Dincolo însă de schimbări structurale și de politici publice, sunt esențiale cele care se generează la nivel de procese, mai ales cu privire la inovația pedagogică necesară pentru a susține noile ecosisteme de învățare în curs de articulare. </w:t>
      </w:r>
    </w:p>
    <w:p w14:paraId="5EE77276" w14:textId="700F6761" w:rsidR="006F66AE" w:rsidRPr="00436C97" w:rsidRDefault="0043025F" w:rsidP="006F66AE">
      <w:pPr>
        <w:jc w:val="both"/>
        <w:rPr>
          <w:lang w:val="ro-RO"/>
        </w:rPr>
      </w:pPr>
      <w:r>
        <w:rPr>
          <w:lang w:val="ro-RO"/>
        </w:rPr>
        <w:t xml:space="preserve">În perioada </w:t>
      </w:r>
      <w:r w:rsidRPr="006F66AE">
        <w:rPr>
          <w:b/>
          <w:bCs/>
          <w:lang w:val="ro-RO"/>
        </w:rPr>
        <w:t>29 – 30 mai 2025</w:t>
      </w:r>
      <w:r>
        <w:rPr>
          <w:lang w:val="ro-RO"/>
        </w:rPr>
        <w:t xml:space="preserve">, la Universitatea din Debrecen, a avut loc conferința </w:t>
      </w:r>
      <w:r w:rsidRPr="0043025F">
        <w:rPr>
          <w:b/>
          <w:bCs/>
          <w:lang w:val="ro-RO"/>
        </w:rPr>
        <w:t>HERA – Hungarian Educational Research Association</w:t>
      </w:r>
      <w:r>
        <w:rPr>
          <w:b/>
          <w:bCs/>
          <w:lang w:val="ro-RO"/>
        </w:rPr>
        <w:t xml:space="preserve">, </w:t>
      </w:r>
      <w:r>
        <w:rPr>
          <w:lang w:val="ro-RO"/>
        </w:rPr>
        <w:t xml:space="preserve">unde prof. univ. dr. Lucian Ciolan a fost invitat ca </w:t>
      </w:r>
      <w:r w:rsidRPr="006F66AE">
        <w:rPr>
          <w:i/>
          <w:iCs/>
          <w:lang w:val="ro-RO"/>
        </w:rPr>
        <w:t>keynote speaker</w:t>
      </w:r>
      <w:r>
        <w:rPr>
          <w:lang w:val="ro-RO"/>
        </w:rPr>
        <w:t xml:space="preserve">. Profesor de Politici educaționale și cercetare în educație și Prorector pentru Proiecte de Dezvoltare și Învățare Continuă al Universității din București, prof. univ. dr. Lucian Ciolan </w:t>
      </w:r>
      <w:r w:rsidR="006F66AE">
        <w:rPr>
          <w:lang w:val="ro-RO"/>
        </w:rPr>
        <w:t xml:space="preserve">este, în cadrul comunității academice a științelor educației, președintele </w:t>
      </w:r>
      <w:hyperlink r:id="rId4" w:history="1">
        <w:r w:rsidR="006F66AE" w:rsidRPr="0043025F">
          <w:rPr>
            <w:rStyle w:val="Hyperlink"/>
            <w:lang w:val="ro-RO"/>
          </w:rPr>
          <w:t>ARCE - Asociația Română de Cercetare în Educație</w:t>
        </w:r>
      </w:hyperlink>
      <w:r w:rsidR="006F66AE">
        <w:rPr>
          <w:lang w:val="ro-RO"/>
        </w:rPr>
        <w:t xml:space="preserve"> și Secretar General al </w:t>
      </w:r>
      <w:hyperlink r:id="rId5" w:history="1">
        <w:r w:rsidR="006F66AE" w:rsidRPr="0043025F">
          <w:rPr>
            <w:rStyle w:val="Hyperlink"/>
            <w:lang w:val="ro-RO"/>
          </w:rPr>
          <w:t>EERA – European Educational Research Association</w:t>
        </w:r>
      </w:hyperlink>
      <w:r w:rsidR="006F66AE">
        <w:rPr>
          <w:lang w:val="ro-RO"/>
        </w:rPr>
        <w:t>.</w:t>
      </w:r>
    </w:p>
    <w:p w14:paraId="34838105" w14:textId="2DE74DCB" w:rsidR="00436C97" w:rsidRDefault="00436C97" w:rsidP="0043025F">
      <w:pPr>
        <w:jc w:val="both"/>
        <w:rPr>
          <w:lang w:val="ro-RO"/>
        </w:rPr>
      </w:pPr>
      <w:r w:rsidRPr="00436C97">
        <w:rPr>
          <w:lang w:val="ro-RO"/>
        </w:rPr>
        <w:t xml:space="preserve">În deschiderea evenimentului, </w:t>
      </w:r>
      <w:r w:rsidR="0043025F">
        <w:rPr>
          <w:lang w:val="ro-RO"/>
        </w:rPr>
        <w:t xml:space="preserve">prof. univ. dr. </w:t>
      </w:r>
      <w:r w:rsidRPr="00436C97">
        <w:rPr>
          <w:lang w:val="ro-RO"/>
        </w:rPr>
        <w:t xml:space="preserve">Lucian Ciolan a susținut o conferință cu titlul </w:t>
      </w:r>
      <w:r w:rsidRPr="00436C97">
        <w:rPr>
          <w:b/>
          <w:bCs/>
          <w:i/>
          <w:iCs/>
          <w:lang w:val="ro-RO"/>
        </w:rPr>
        <w:t>Learning Transformation in Universities: Ecosystem(s), Communities, and Innovative Pedagogies</w:t>
      </w:r>
      <w:r w:rsidRPr="00436C97">
        <w:rPr>
          <w:b/>
          <w:bCs/>
          <w:lang w:val="ro-RO"/>
        </w:rPr>
        <w:t xml:space="preserve">. </w:t>
      </w:r>
      <w:r w:rsidRPr="00436C97">
        <w:rPr>
          <w:lang w:val="ro-RO"/>
        </w:rPr>
        <w:t>În prezentare</w:t>
      </w:r>
      <w:r>
        <w:rPr>
          <w:lang w:val="ro-RO"/>
        </w:rPr>
        <w:t xml:space="preserve"> au fost investiga</w:t>
      </w:r>
      <w:r w:rsidR="0043025F">
        <w:rPr>
          <w:lang w:val="ro-RO"/>
        </w:rPr>
        <w:t>ți</w:t>
      </w:r>
      <w:r>
        <w:rPr>
          <w:lang w:val="ro-RO"/>
        </w:rPr>
        <w:t xml:space="preserve"> trei piloni esențiali ai transformării ecosistemelor de învățare din universități: </w:t>
      </w:r>
      <w:r w:rsidRPr="0043025F">
        <w:rPr>
          <w:b/>
          <w:bCs/>
          <w:lang w:val="ro-RO"/>
        </w:rPr>
        <w:t>alianțele europene</w:t>
      </w:r>
      <w:r>
        <w:rPr>
          <w:lang w:val="ro-RO"/>
        </w:rPr>
        <w:t xml:space="preserve">, </w:t>
      </w:r>
      <w:r w:rsidRPr="0043025F">
        <w:rPr>
          <w:b/>
          <w:bCs/>
          <w:lang w:val="ro-RO"/>
        </w:rPr>
        <w:t>tehnologiile digitale</w:t>
      </w:r>
      <w:r>
        <w:rPr>
          <w:lang w:val="ro-RO"/>
        </w:rPr>
        <w:t xml:space="preserve"> (în special </w:t>
      </w:r>
      <w:r w:rsidRPr="0043025F">
        <w:rPr>
          <w:i/>
          <w:iCs/>
          <w:lang w:val="ro-RO"/>
        </w:rPr>
        <w:t>GenAI</w:t>
      </w:r>
      <w:r>
        <w:rPr>
          <w:lang w:val="ro-RO"/>
        </w:rPr>
        <w:t xml:space="preserve">) și </w:t>
      </w:r>
      <w:r w:rsidRPr="0043025F">
        <w:rPr>
          <w:b/>
          <w:bCs/>
          <w:lang w:val="ro-RO"/>
        </w:rPr>
        <w:t>comunitățile de învățare</w:t>
      </w:r>
      <w:r>
        <w:rPr>
          <w:lang w:val="ro-RO"/>
        </w:rPr>
        <w:t xml:space="preserve">. </w:t>
      </w:r>
    </w:p>
    <w:p w14:paraId="7725F41E" w14:textId="1DA0294F" w:rsidR="00436C97" w:rsidRDefault="00436C97" w:rsidP="0043025F">
      <w:pPr>
        <w:jc w:val="both"/>
        <w:rPr>
          <w:lang w:val="ro-RO"/>
        </w:rPr>
      </w:pPr>
      <w:r>
        <w:rPr>
          <w:lang w:val="ro-RO"/>
        </w:rPr>
        <w:t>Pornind de la aceste trei dimensiuni, au fost analizate principalele inovații pedagogice care sunt în proces de adopție la nivel structural (</w:t>
      </w:r>
      <w:r w:rsidRPr="0043025F">
        <w:rPr>
          <w:i/>
          <w:iCs/>
          <w:lang w:val="ro-RO"/>
        </w:rPr>
        <w:t>joint degrees</w:t>
      </w:r>
      <w:r>
        <w:rPr>
          <w:lang w:val="ro-RO"/>
        </w:rPr>
        <w:t>, micro-p</w:t>
      </w:r>
      <w:r w:rsidR="00232D97">
        <w:rPr>
          <w:lang w:val="ro-RO"/>
        </w:rPr>
        <w:t xml:space="preserve">rograme și micro-certificări, </w:t>
      </w:r>
      <w:r w:rsidR="00232D97" w:rsidRPr="0043025F">
        <w:rPr>
          <w:i/>
          <w:iCs/>
          <w:lang w:val="ro-RO"/>
        </w:rPr>
        <w:t>BIPs</w:t>
      </w:r>
      <w:r w:rsidR="00232D97">
        <w:rPr>
          <w:lang w:val="ro-RO"/>
        </w:rPr>
        <w:t>, etc</w:t>
      </w:r>
      <w:r w:rsidR="0043025F">
        <w:rPr>
          <w:lang w:val="ro-RO"/>
        </w:rPr>
        <w:t>.</w:t>
      </w:r>
      <w:r w:rsidR="00232D97">
        <w:rPr>
          <w:lang w:val="ro-RO"/>
        </w:rPr>
        <w:t>), dar mai ales la nivel procesual, în interacțiunile de învățare (</w:t>
      </w:r>
      <w:r w:rsidR="00232D97" w:rsidRPr="00232D97">
        <w:rPr>
          <w:i/>
          <w:iCs/>
          <w:lang w:val="ro-RO"/>
        </w:rPr>
        <w:t>challenge-based learning, service &amp; community based learning, living labs, technology-enhanced learning</w:t>
      </w:r>
      <w:r w:rsidR="00232D97">
        <w:rPr>
          <w:lang w:val="ro-RO"/>
        </w:rPr>
        <w:t xml:space="preserve"> etc.). Pentru a putea însoți sustenabil inovațiile structurale, este necesară o abordare pedagogică bazată pe designul experiențelor autentice de învățare, un design integrat care valorifică cercetările din domeniul neuroștiințelor cognitive și al pedagogiilor inovative. </w:t>
      </w:r>
    </w:p>
    <w:p w14:paraId="23223ACA" w14:textId="60FC1895" w:rsidR="00AC1831" w:rsidRDefault="00AC1831" w:rsidP="0043025F">
      <w:pPr>
        <w:jc w:val="both"/>
        <w:rPr>
          <w:lang w:val="ro-RO"/>
        </w:rPr>
      </w:pPr>
      <w:r>
        <w:rPr>
          <w:lang w:val="ro-RO"/>
        </w:rPr>
        <w:t xml:space="preserve">Cu ocazia acestei conferințe, a avut loc și o întâlnire bilaterală cu </w:t>
      </w:r>
      <w:r w:rsidR="001657B1">
        <w:rPr>
          <w:lang w:val="ro-RO"/>
        </w:rPr>
        <w:t>P</w:t>
      </w:r>
      <w:r>
        <w:rPr>
          <w:lang w:val="ro-RO"/>
        </w:rPr>
        <w:t>rorectorul pentru educație al Universității din Debrecen, prof.</w:t>
      </w:r>
      <w:r w:rsidR="0043025F">
        <w:rPr>
          <w:lang w:val="ro-RO"/>
        </w:rPr>
        <w:t xml:space="preserve"> univ. </w:t>
      </w:r>
      <w:r>
        <w:rPr>
          <w:lang w:val="ro-RO"/>
        </w:rPr>
        <w:t xml:space="preserve">dr. </w:t>
      </w:r>
      <w:r w:rsidR="00647960">
        <w:rPr>
          <w:lang w:val="ro-RO"/>
        </w:rPr>
        <w:t xml:space="preserve"> Elek B</w:t>
      </w:r>
      <w:r>
        <w:rPr>
          <w:lang w:val="ro-RO"/>
        </w:rPr>
        <w:t xml:space="preserve">artha, în care au fost analizate modalități de colaborare între cele două instituții de învățământ superior. </w:t>
      </w:r>
    </w:p>
    <w:p w14:paraId="61D207DD" w14:textId="380AF76C" w:rsidR="00436C97" w:rsidRPr="00436C97" w:rsidRDefault="00232D97" w:rsidP="0043025F">
      <w:pPr>
        <w:jc w:val="both"/>
        <w:rPr>
          <w:lang w:val="ro-RO"/>
        </w:rPr>
      </w:pPr>
      <w:r>
        <w:rPr>
          <w:lang w:val="ro-RO"/>
        </w:rPr>
        <w:t xml:space="preserve">Mai multe detalii </w:t>
      </w:r>
      <w:r w:rsidR="00AC1831">
        <w:rPr>
          <w:lang w:val="ro-RO"/>
        </w:rPr>
        <w:t xml:space="preserve">despre conferință </w:t>
      </w:r>
      <w:r w:rsidR="0043025F">
        <w:rPr>
          <w:lang w:val="ro-RO"/>
        </w:rPr>
        <w:t>sunt disponibile a</w:t>
      </w:r>
      <w:r>
        <w:rPr>
          <w:lang w:val="ro-RO"/>
        </w:rPr>
        <w:t xml:space="preserve">ici: </w:t>
      </w:r>
      <w:hyperlink r:id="rId6" w:history="1">
        <w:r w:rsidRPr="00220E64">
          <w:rPr>
            <w:rStyle w:val="Hyperlink"/>
            <w:lang w:val="ro-RO"/>
          </w:rPr>
          <w:t>https://hera.org.hu/hucer-2025</w:t>
        </w:r>
      </w:hyperlink>
    </w:p>
    <w:sectPr w:rsidR="00436C97" w:rsidRPr="00436C9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C97"/>
    <w:rsid w:val="001657B1"/>
    <w:rsid w:val="00232D97"/>
    <w:rsid w:val="00281168"/>
    <w:rsid w:val="0043025F"/>
    <w:rsid w:val="00436C97"/>
    <w:rsid w:val="00647960"/>
    <w:rsid w:val="006F66AE"/>
    <w:rsid w:val="009D2C38"/>
    <w:rsid w:val="00A8288B"/>
    <w:rsid w:val="00AC1831"/>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A2A4C"/>
  <w15:chartTrackingRefBased/>
  <w15:docId w15:val="{B70B9CE8-DBC9-FB43-8B00-39E79C2C7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6C9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6C9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6C9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6C9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6C9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6C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6C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6C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6C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6C9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6C9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6C9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6C9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6C9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6C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6C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6C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6C97"/>
    <w:rPr>
      <w:rFonts w:eastAsiaTheme="majorEastAsia" w:cstheme="majorBidi"/>
      <w:color w:val="272727" w:themeColor="text1" w:themeTint="D8"/>
    </w:rPr>
  </w:style>
  <w:style w:type="paragraph" w:styleId="Title">
    <w:name w:val="Title"/>
    <w:basedOn w:val="Normal"/>
    <w:next w:val="Normal"/>
    <w:link w:val="TitleChar"/>
    <w:uiPriority w:val="10"/>
    <w:qFormat/>
    <w:rsid w:val="00436C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6C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6C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6C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6C97"/>
    <w:pPr>
      <w:spacing w:before="160"/>
      <w:jc w:val="center"/>
    </w:pPr>
    <w:rPr>
      <w:i/>
      <w:iCs/>
      <w:color w:val="404040" w:themeColor="text1" w:themeTint="BF"/>
    </w:rPr>
  </w:style>
  <w:style w:type="character" w:customStyle="1" w:styleId="QuoteChar">
    <w:name w:val="Quote Char"/>
    <w:basedOn w:val="DefaultParagraphFont"/>
    <w:link w:val="Quote"/>
    <w:uiPriority w:val="29"/>
    <w:rsid w:val="00436C97"/>
    <w:rPr>
      <w:i/>
      <w:iCs/>
      <w:color w:val="404040" w:themeColor="text1" w:themeTint="BF"/>
    </w:rPr>
  </w:style>
  <w:style w:type="paragraph" w:styleId="ListParagraph">
    <w:name w:val="List Paragraph"/>
    <w:basedOn w:val="Normal"/>
    <w:uiPriority w:val="34"/>
    <w:qFormat/>
    <w:rsid w:val="00436C97"/>
    <w:pPr>
      <w:ind w:left="720"/>
      <w:contextualSpacing/>
    </w:pPr>
  </w:style>
  <w:style w:type="character" w:styleId="IntenseEmphasis">
    <w:name w:val="Intense Emphasis"/>
    <w:basedOn w:val="DefaultParagraphFont"/>
    <w:uiPriority w:val="21"/>
    <w:qFormat/>
    <w:rsid w:val="00436C97"/>
    <w:rPr>
      <w:i/>
      <w:iCs/>
      <w:color w:val="0F4761" w:themeColor="accent1" w:themeShade="BF"/>
    </w:rPr>
  </w:style>
  <w:style w:type="paragraph" w:styleId="IntenseQuote">
    <w:name w:val="Intense Quote"/>
    <w:basedOn w:val="Normal"/>
    <w:next w:val="Normal"/>
    <w:link w:val="IntenseQuoteChar"/>
    <w:uiPriority w:val="30"/>
    <w:qFormat/>
    <w:rsid w:val="00436C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6C97"/>
    <w:rPr>
      <w:i/>
      <w:iCs/>
      <w:color w:val="0F4761" w:themeColor="accent1" w:themeShade="BF"/>
    </w:rPr>
  </w:style>
  <w:style w:type="character" w:styleId="IntenseReference">
    <w:name w:val="Intense Reference"/>
    <w:basedOn w:val="DefaultParagraphFont"/>
    <w:uiPriority w:val="32"/>
    <w:qFormat/>
    <w:rsid w:val="00436C97"/>
    <w:rPr>
      <w:b/>
      <w:bCs/>
      <w:smallCaps/>
      <w:color w:val="0F4761" w:themeColor="accent1" w:themeShade="BF"/>
      <w:spacing w:val="5"/>
    </w:rPr>
  </w:style>
  <w:style w:type="character" w:styleId="Hyperlink">
    <w:name w:val="Hyperlink"/>
    <w:basedOn w:val="DefaultParagraphFont"/>
    <w:uiPriority w:val="99"/>
    <w:unhideWhenUsed/>
    <w:rsid w:val="00232D97"/>
    <w:rPr>
      <w:color w:val="467886" w:themeColor="hyperlink"/>
      <w:u w:val="single"/>
    </w:rPr>
  </w:style>
  <w:style w:type="character" w:styleId="UnresolvedMention">
    <w:name w:val="Unresolved Mention"/>
    <w:basedOn w:val="DefaultParagraphFont"/>
    <w:uiPriority w:val="99"/>
    <w:semiHidden/>
    <w:unhideWhenUsed/>
    <w:rsid w:val="00232D97"/>
    <w:rPr>
      <w:color w:val="605E5C"/>
      <w:shd w:val="clear" w:color="auto" w:fill="E1DFDD"/>
    </w:rPr>
  </w:style>
  <w:style w:type="character" w:styleId="FollowedHyperlink">
    <w:name w:val="FollowedHyperlink"/>
    <w:basedOn w:val="DefaultParagraphFont"/>
    <w:uiPriority w:val="99"/>
    <w:semiHidden/>
    <w:unhideWhenUsed/>
    <w:rsid w:val="0043025F"/>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8590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hera.org.hu/hucer-2025" TargetMode="External"/><Relationship Id="rId5" Type="http://schemas.openxmlformats.org/officeDocument/2006/relationships/hyperlink" Target="https://eera-ecer.de/" TargetMode="External"/><Relationship Id="rId4" Type="http://schemas.openxmlformats.org/officeDocument/2006/relationships/hyperlink" Target="https://arced.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379</Words>
  <Characters>2163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Lucian Ciolan</dc:creator>
  <cp:keywords/>
  <dc:description/>
  <cp:lastModifiedBy>Daria Cojocaru</cp:lastModifiedBy>
  <cp:revision>5</cp:revision>
  <dcterms:created xsi:type="dcterms:W3CDTF">2025-05-30T08:51:00Z</dcterms:created>
  <dcterms:modified xsi:type="dcterms:W3CDTF">2025-05-30T10:31:00Z</dcterms:modified>
</cp:coreProperties>
</file>