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78702F" w14:textId="3D9010FA" w:rsidR="00E14C1F" w:rsidRPr="00E14C1F" w:rsidRDefault="00E14C1F" w:rsidP="00E14C1F">
      <w:pPr>
        <w:spacing w:after="0" w:line="240" w:lineRule="auto"/>
        <w:rPr>
          <w:rFonts w:ascii="Times New Roman" w:hAnsi="Times New Roman" w:cs="Times New Roman"/>
          <w:b/>
          <w:bCs/>
        </w:rPr>
      </w:pPr>
      <w:r w:rsidRPr="00E14C1F">
        <w:rPr>
          <w:rFonts w:ascii="Times New Roman" w:hAnsi="Times New Roman" w:cs="Times New Roman"/>
          <w:b/>
          <w:bCs/>
          <w:lang w:val="en-US"/>
        </w:rPr>
        <w:t>Detecting racism in humorous discourse: a critical literacy approach</w:t>
      </w:r>
    </w:p>
    <w:p w14:paraId="40BB219A" w14:textId="77777777" w:rsidR="00E14C1F" w:rsidRDefault="00E14C1F" w:rsidP="00E14C1F">
      <w:pPr>
        <w:spacing w:after="0" w:line="240" w:lineRule="auto"/>
        <w:rPr>
          <w:rFonts w:ascii="Times New Roman" w:hAnsi="Times New Roman" w:cs="Times New Roman"/>
          <w:lang w:val="en-US"/>
        </w:rPr>
      </w:pPr>
    </w:p>
    <w:p w14:paraId="15878D16" w14:textId="1F4F4FF5" w:rsidR="00E14C1F" w:rsidRPr="00E14C1F" w:rsidRDefault="00E14C1F" w:rsidP="00E14C1F">
      <w:pPr>
        <w:spacing w:after="0" w:line="240" w:lineRule="auto"/>
        <w:rPr>
          <w:rFonts w:ascii="Times New Roman" w:hAnsi="Times New Roman" w:cs="Times New Roman"/>
          <w:lang w:val="en-US"/>
        </w:rPr>
      </w:pPr>
      <w:r w:rsidRPr="00E14C1F">
        <w:rPr>
          <w:rFonts w:ascii="Times New Roman" w:hAnsi="Times New Roman" w:cs="Times New Roman"/>
          <w:lang w:val="en-US"/>
        </w:rPr>
        <w:t>Villy Tsakona</w:t>
      </w:r>
    </w:p>
    <w:p w14:paraId="325B9C6D" w14:textId="0B23855C" w:rsidR="00E14C1F" w:rsidRPr="00E14C1F" w:rsidRDefault="00E14C1F" w:rsidP="00E14C1F">
      <w:pPr>
        <w:spacing w:after="0" w:line="240" w:lineRule="auto"/>
        <w:rPr>
          <w:rFonts w:ascii="Times New Roman" w:hAnsi="Times New Roman" w:cs="Times New Roman"/>
          <w:lang w:val="en-US"/>
        </w:rPr>
      </w:pPr>
      <w:r w:rsidRPr="00E14C1F">
        <w:rPr>
          <w:rFonts w:ascii="Times New Roman" w:hAnsi="Times New Roman" w:cs="Times New Roman"/>
          <w:lang w:val="en-US"/>
        </w:rPr>
        <w:t>National &amp; Kapodistrian University of Athens, Greece</w:t>
      </w:r>
    </w:p>
    <w:p w14:paraId="6468416F" w14:textId="77777777" w:rsidR="00E14C1F" w:rsidRDefault="00E14C1F" w:rsidP="00E14C1F">
      <w:pPr>
        <w:spacing w:after="0" w:line="240" w:lineRule="auto"/>
        <w:jc w:val="both"/>
        <w:outlineLvl w:val="0"/>
        <w:rPr>
          <w:rFonts w:ascii="Times New Roman" w:hAnsi="Times New Roman" w:cs="Times New Roman"/>
          <w:lang w:val="en-US"/>
        </w:rPr>
      </w:pPr>
    </w:p>
    <w:p w14:paraId="2B501199" w14:textId="6074025D" w:rsidR="00E14C1F" w:rsidRPr="00E14C1F" w:rsidRDefault="00E14C1F" w:rsidP="00E14C1F">
      <w:pPr>
        <w:spacing w:after="0" w:line="240" w:lineRule="auto"/>
        <w:jc w:val="both"/>
        <w:outlineLvl w:val="0"/>
        <w:rPr>
          <w:rFonts w:ascii="Times New Roman" w:hAnsi="Times New Roman" w:cs="Times New Roman"/>
          <w:lang w:val="en-US"/>
        </w:rPr>
      </w:pPr>
      <w:r w:rsidRPr="00E14C1F">
        <w:rPr>
          <w:rFonts w:ascii="Times New Roman" w:hAnsi="Times New Roman" w:cs="Times New Roman"/>
          <w:lang w:val="en-US"/>
        </w:rPr>
        <w:t xml:space="preserve">When discussing the relationship between humor and racism, research usually concentrates on ethnic or racist jokes or on other humorous texts which expressly target migrants or other minorities. Relevant studies more or less explicitly ascribe to </w:t>
      </w:r>
      <w:r w:rsidRPr="00E14C1F">
        <w:rPr>
          <w:rFonts w:ascii="Times New Roman" w:hAnsi="Times New Roman" w:cs="Times New Roman"/>
          <w:i/>
          <w:lang w:val="en-US"/>
        </w:rPr>
        <w:t>critical humor studies</w:t>
      </w:r>
      <w:r w:rsidRPr="00E14C1F">
        <w:rPr>
          <w:rFonts w:ascii="Times New Roman" w:hAnsi="Times New Roman" w:cs="Times New Roman"/>
          <w:lang w:val="en-US"/>
        </w:rPr>
        <w:t xml:space="preserve"> investigating topics such as how and why humor targeting the linguistic, cultural, or religious Other reproduces and maintains social discrimination and inequality; how and why the generic conventions of humorous genres do not incite the audience to think critically of their content but instead enhance their tolerance for discriminatory and racist standpoints (see Archakis &amp; Tsakona 2021 and references therein).</w:t>
      </w:r>
    </w:p>
    <w:p w14:paraId="39BFDDF1" w14:textId="3F8D9D43" w:rsidR="00E14C1F" w:rsidRDefault="00E14C1F" w:rsidP="00E14C1F">
      <w:pPr>
        <w:spacing w:after="0" w:line="240" w:lineRule="auto"/>
        <w:ind w:firstLine="720"/>
        <w:jc w:val="both"/>
        <w:outlineLvl w:val="0"/>
        <w:rPr>
          <w:rFonts w:ascii="Times New Roman" w:hAnsi="Times New Roman" w:cs="Times New Roman"/>
          <w:lang w:val="en-US"/>
        </w:rPr>
      </w:pPr>
      <w:r w:rsidRPr="00E14C1F">
        <w:rPr>
          <w:rFonts w:ascii="Times New Roman" w:hAnsi="Times New Roman" w:cs="Times New Roman"/>
          <w:lang w:val="en-US"/>
        </w:rPr>
        <w:t xml:space="preserve">In this context, the proposed </w:t>
      </w:r>
      <w:r w:rsidR="003F654F">
        <w:rPr>
          <w:rFonts w:ascii="Times New Roman" w:hAnsi="Times New Roman" w:cs="Times New Roman"/>
          <w:lang w:val="en-US"/>
        </w:rPr>
        <w:t>presentation</w:t>
      </w:r>
      <w:r w:rsidRPr="00E14C1F">
        <w:rPr>
          <w:rFonts w:ascii="Times New Roman" w:hAnsi="Times New Roman" w:cs="Times New Roman"/>
          <w:lang w:val="en-US"/>
        </w:rPr>
        <w:t xml:space="preserve"> attempts a different approach: it explores humorous texts that at first sight appear to have antiracist intentions. More specifically, I analyze </w:t>
      </w:r>
      <w:r w:rsidR="003F654F">
        <w:rPr>
          <w:rFonts w:ascii="Times New Roman" w:hAnsi="Times New Roman" w:cs="Times New Roman"/>
          <w:lang w:val="en-US"/>
        </w:rPr>
        <w:t xml:space="preserve">examples from </w:t>
      </w:r>
      <w:r w:rsidRPr="00E14C1F">
        <w:rPr>
          <w:rFonts w:ascii="Times New Roman" w:hAnsi="Times New Roman" w:cs="Times New Roman"/>
          <w:lang w:val="en-US"/>
        </w:rPr>
        <w:t xml:space="preserve">a corpus of satirical news coming from popular Greek websites and targeting majority people for their racist practices towards migrants. My analysis reveals that distinguishing between antiracist and racist interpretations is not an easy or straightforward matter: humor seems to blur the boundary between racism and antiracism. In order to account for this dimension of humor, I exploit the concept of </w:t>
      </w:r>
      <w:r w:rsidRPr="00E14C1F">
        <w:rPr>
          <w:rFonts w:ascii="Times New Roman" w:hAnsi="Times New Roman" w:cs="Times New Roman"/>
          <w:i/>
          <w:lang w:val="en-US"/>
        </w:rPr>
        <w:t>liquid racism</w:t>
      </w:r>
      <w:r w:rsidRPr="00E14C1F">
        <w:rPr>
          <w:rFonts w:ascii="Times New Roman" w:hAnsi="Times New Roman" w:cs="Times New Roman"/>
          <w:lang w:val="en-US"/>
        </w:rPr>
        <w:t xml:space="preserve"> put forward by Weaver (2016) to account for the ambiguities of humorous discourse when it involves racist and antiracist meanings.</w:t>
      </w:r>
    </w:p>
    <w:p w14:paraId="6B958F11" w14:textId="66F3BEC0" w:rsidR="003F654F" w:rsidRDefault="003F654F" w:rsidP="00E14C1F">
      <w:pPr>
        <w:spacing w:after="0" w:line="240" w:lineRule="auto"/>
        <w:ind w:firstLine="720"/>
        <w:jc w:val="both"/>
        <w:outlineLvl w:val="0"/>
        <w:rPr>
          <w:rFonts w:ascii="Times New Roman" w:hAnsi="Times New Roman" w:cs="Times New Roman"/>
          <w:lang w:val="en-US"/>
        </w:rPr>
      </w:pPr>
      <w:r>
        <w:rPr>
          <w:rFonts w:ascii="Times New Roman" w:hAnsi="Times New Roman" w:cs="Times New Roman"/>
          <w:lang w:val="en-US"/>
        </w:rPr>
        <w:t xml:space="preserve">The </w:t>
      </w:r>
      <w:r w:rsidR="00662107">
        <w:rPr>
          <w:rFonts w:ascii="Times New Roman" w:hAnsi="Times New Roman" w:cs="Times New Roman"/>
          <w:lang w:val="en-US"/>
        </w:rPr>
        <w:t>presentation</w:t>
      </w:r>
      <w:r>
        <w:rPr>
          <w:rFonts w:ascii="Times New Roman" w:hAnsi="Times New Roman" w:cs="Times New Roman"/>
          <w:lang w:val="en-US"/>
        </w:rPr>
        <w:t xml:space="preserve"> </w:t>
      </w:r>
      <w:r w:rsidR="008E598D">
        <w:rPr>
          <w:rFonts w:ascii="Times New Roman" w:hAnsi="Times New Roman" w:cs="Times New Roman"/>
          <w:lang w:val="en-US"/>
        </w:rPr>
        <w:t>has</w:t>
      </w:r>
      <w:r>
        <w:rPr>
          <w:rFonts w:ascii="Times New Roman" w:hAnsi="Times New Roman" w:cs="Times New Roman"/>
          <w:lang w:val="en-US"/>
        </w:rPr>
        <w:t xml:space="preserve"> </w:t>
      </w:r>
      <w:r w:rsidR="00662107">
        <w:rPr>
          <w:rFonts w:ascii="Times New Roman" w:hAnsi="Times New Roman" w:cs="Times New Roman"/>
          <w:lang w:val="en-US"/>
        </w:rPr>
        <w:t xml:space="preserve">also </w:t>
      </w:r>
      <w:r>
        <w:rPr>
          <w:rFonts w:ascii="Times New Roman" w:hAnsi="Times New Roman" w:cs="Times New Roman"/>
          <w:lang w:val="en-US"/>
        </w:rPr>
        <w:t xml:space="preserve">an applied orientation pertaining to how such critical analyses could be part of critical literacy courses about humorous </w:t>
      </w:r>
      <w:r w:rsidR="00662107">
        <w:rPr>
          <w:rFonts w:ascii="Times New Roman" w:hAnsi="Times New Roman" w:cs="Times New Roman"/>
          <w:lang w:val="en-US"/>
        </w:rPr>
        <w:t>texts</w:t>
      </w:r>
      <w:r>
        <w:rPr>
          <w:rFonts w:ascii="Times New Roman" w:hAnsi="Times New Roman" w:cs="Times New Roman"/>
          <w:lang w:val="en-US"/>
        </w:rPr>
        <w:t xml:space="preserve"> which could be perceived as </w:t>
      </w:r>
      <w:r w:rsidR="008E598D">
        <w:rPr>
          <w:rFonts w:ascii="Times New Roman" w:hAnsi="Times New Roman" w:cs="Times New Roman"/>
          <w:lang w:val="en-US"/>
        </w:rPr>
        <w:t xml:space="preserve">both </w:t>
      </w:r>
      <w:r>
        <w:rPr>
          <w:rFonts w:ascii="Times New Roman" w:hAnsi="Times New Roman" w:cs="Times New Roman"/>
          <w:lang w:val="en-US"/>
        </w:rPr>
        <w:t>racist and antiracist. After referring to what critical literacy</w:t>
      </w:r>
      <w:r w:rsidR="008E598D">
        <w:rPr>
          <w:rFonts w:ascii="Times New Roman" w:hAnsi="Times New Roman" w:cs="Times New Roman"/>
          <w:lang w:val="en-US"/>
        </w:rPr>
        <w:t xml:space="preserve"> is</w:t>
      </w:r>
      <w:r>
        <w:rPr>
          <w:rFonts w:ascii="Times New Roman" w:hAnsi="Times New Roman" w:cs="Times New Roman"/>
          <w:lang w:val="en-US"/>
        </w:rPr>
        <w:t xml:space="preserve">, what </w:t>
      </w:r>
      <w:r w:rsidR="00662107">
        <w:rPr>
          <w:rFonts w:ascii="Times New Roman" w:hAnsi="Times New Roman" w:cs="Times New Roman"/>
          <w:lang w:val="en-US"/>
        </w:rPr>
        <w:t>its goals are</w:t>
      </w:r>
      <w:r>
        <w:rPr>
          <w:rFonts w:ascii="Times New Roman" w:hAnsi="Times New Roman" w:cs="Times New Roman"/>
          <w:lang w:val="en-US"/>
        </w:rPr>
        <w:t>, and what kind of teaching activities it usually involves (</w:t>
      </w:r>
      <w:r w:rsidR="008E598D">
        <w:rPr>
          <w:rFonts w:ascii="Times New Roman" w:hAnsi="Times New Roman" w:cs="Times New Roman"/>
          <w:lang w:val="en-US"/>
        </w:rPr>
        <w:t xml:space="preserve">see among other </w:t>
      </w:r>
      <w:r>
        <w:rPr>
          <w:rFonts w:ascii="Times New Roman" w:hAnsi="Times New Roman" w:cs="Times New Roman"/>
          <w:lang w:val="en-US"/>
        </w:rPr>
        <w:t>Beh</w:t>
      </w:r>
      <w:r w:rsidR="008E598D">
        <w:rPr>
          <w:rFonts w:ascii="Times New Roman" w:hAnsi="Times New Roman" w:cs="Times New Roman"/>
          <w:lang w:val="en-US"/>
        </w:rPr>
        <w:t>r</w:t>
      </w:r>
      <w:r>
        <w:rPr>
          <w:rFonts w:ascii="Times New Roman" w:hAnsi="Times New Roman" w:cs="Times New Roman"/>
          <w:lang w:val="en-US"/>
        </w:rPr>
        <w:t xml:space="preserve">man 2006), I explore some basic </w:t>
      </w:r>
      <w:r w:rsidR="008E598D">
        <w:rPr>
          <w:rFonts w:ascii="Times New Roman" w:hAnsi="Times New Roman" w:cs="Times New Roman"/>
          <w:lang w:val="en-US"/>
        </w:rPr>
        <w:t xml:space="preserve">tenets and </w:t>
      </w:r>
      <w:r>
        <w:rPr>
          <w:rFonts w:ascii="Times New Roman" w:hAnsi="Times New Roman" w:cs="Times New Roman"/>
          <w:lang w:val="en-US"/>
        </w:rPr>
        <w:t>steps which could be taken into consideration when examining such humor in class (Tsakona 2024).</w:t>
      </w:r>
    </w:p>
    <w:p w14:paraId="168EF90F" w14:textId="77777777" w:rsidR="003F654F" w:rsidRPr="00E14C1F" w:rsidRDefault="003F654F" w:rsidP="00E14C1F">
      <w:pPr>
        <w:spacing w:after="0" w:line="240" w:lineRule="auto"/>
        <w:ind w:firstLine="720"/>
        <w:jc w:val="both"/>
        <w:outlineLvl w:val="0"/>
        <w:rPr>
          <w:rFonts w:ascii="Times New Roman" w:hAnsi="Times New Roman" w:cs="Times New Roman"/>
          <w:lang w:val="en-US"/>
        </w:rPr>
      </w:pPr>
    </w:p>
    <w:p w14:paraId="10B24BB5" w14:textId="70C2143A" w:rsidR="00E14C1F" w:rsidRPr="00662107" w:rsidRDefault="00662107" w:rsidP="00E14C1F">
      <w:pPr>
        <w:spacing w:after="0" w:line="240" w:lineRule="auto"/>
        <w:jc w:val="both"/>
        <w:outlineLvl w:val="0"/>
        <w:rPr>
          <w:rFonts w:ascii="Times New Roman" w:hAnsi="Times New Roman" w:cs="Times New Roman"/>
          <w:i/>
          <w:iCs/>
          <w:lang w:val="en-US"/>
        </w:rPr>
      </w:pPr>
      <w:r>
        <w:rPr>
          <w:rFonts w:ascii="Times New Roman" w:hAnsi="Times New Roman" w:cs="Times New Roman"/>
          <w:i/>
          <w:iCs/>
          <w:lang w:val="en-US"/>
        </w:rPr>
        <w:t>References cited</w:t>
      </w:r>
    </w:p>
    <w:p w14:paraId="230F1A79" w14:textId="2C60A677" w:rsidR="00E14C1F" w:rsidRDefault="00E14C1F" w:rsidP="00E14C1F">
      <w:pPr>
        <w:spacing w:after="0" w:line="240" w:lineRule="auto"/>
        <w:ind w:left="284" w:hanging="284"/>
        <w:jc w:val="both"/>
        <w:outlineLvl w:val="0"/>
        <w:rPr>
          <w:rFonts w:ascii="Times New Roman" w:eastAsia="Calibri" w:hAnsi="Times New Roman" w:cs="Times New Roman"/>
          <w:lang w:val="en-US"/>
        </w:rPr>
      </w:pPr>
      <w:r w:rsidRPr="00E14C1F">
        <w:rPr>
          <w:rFonts w:ascii="Times New Roman" w:hAnsi="Times New Roman" w:cs="Times New Roman"/>
          <w:lang w:val="en-US"/>
        </w:rPr>
        <w:t xml:space="preserve">Archakis, A. &amp; Tsakona, V. 2021. </w:t>
      </w:r>
      <w:r w:rsidRPr="00E14C1F">
        <w:rPr>
          <w:rFonts w:ascii="Times New Roman" w:eastAsia="Calibri" w:hAnsi="Times New Roman" w:cs="Times New Roman"/>
          <w:lang w:val="en-US"/>
        </w:rPr>
        <w:t xml:space="preserve">Greek migrant jokes online: </w:t>
      </w:r>
      <w:r w:rsidRPr="00E14C1F">
        <w:rPr>
          <w:rFonts w:ascii="Times New Roman" w:eastAsia="Minion3-Regular" w:hAnsi="Times New Roman" w:cs="Times New Roman"/>
          <w:lang w:val="en-US"/>
        </w:rPr>
        <w:t xml:space="preserve">A diachronic-comparative study on racist humorous representations. </w:t>
      </w:r>
      <w:r w:rsidRPr="00E14C1F">
        <w:rPr>
          <w:rFonts w:ascii="Times New Roman" w:eastAsia="Calibri" w:hAnsi="Times New Roman" w:cs="Times New Roman"/>
          <w:i/>
          <w:iCs/>
          <w:lang w:val="en-US"/>
        </w:rPr>
        <w:t>Internet Pragmatics</w:t>
      </w:r>
      <w:r w:rsidRPr="00E14C1F">
        <w:rPr>
          <w:rFonts w:ascii="Times New Roman" w:eastAsia="Calibri" w:hAnsi="Times New Roman" w:cs="Times New Roman"/>
          <w:lang w:val="en-US"/>
        </w:rPr>
        <w:t xml:space="preserve"> 4</w:t>
      </w:r>
      <w:r w:rsidR="004F5294">
        <w:rPr>
          <w:rFonts w:ascii="Times New Roman" w:eastAsia="Calibri" w:hAnsi="Times New Roman" w:cs="Times New Roman"/>
          <w:lang w:val="en-US"/>
        </w:rPr>
        <w:t xml:space="preserve"> </w:t>
      </w:r>
      <w:r w:rsidRPr="00E14C1F">
        <w:rPr>
          <w:rFonts w:ascii="Times New Roman" w:eastAsia="Calibri" w:hAnsi="Times New Roman" w:cs="Times New Roman"/>
          <w:lang w:val="en-US"/>
        </w:rPr>
        <w:t>(1), 28-51.</w:t>
      </w:r>
    </w:p>
    <w:p w14:paraId="234434D0" w14:textId="69979FF1" w:rsidR="008E598D" w:rsidRDefault="008E598D" w:rsidP="008E598D">
      <w:pPr>
        <w:spacing w:after="0" w:line="240" w:lineRule="auto"/>
        <w:ind w:left="284" w:hanging="284"/>
        <w:jc w:val="both"/>
        <w:outlineLvl w:val="0"/>
        <w:rPr>
          <w:rFonts w:ascii="Times New Roman" w:eastAsia="Calibri" w:hAnsi="Times New Roman" w:cs="Times New Roman"/>
          <w:lang w:val="en-US"/>
        </w:rPr>
      </w:pPr>
      <w:r w:rsidRPr="008E598D">
        <w:rPr>
          <w:rFonts w:ascii="Times New Roman" w:eastAsia="Calibri" w:hAnsi="Times New Roman" w:cs="Times New Roman"/>
          <w:lang w:val="en-US"/>
        </w:rPr>
        <w:t xml:space="preserve">Behrman, E. H. 2006. Teaching about language, power, and text: A review of classroom practices that support critical literacy. </w:t>
      </w:r>
      <w:r w:rsidRPr="004F5294">
        <w:rPr>
          <w:rFonts w:ascii="Times New Roman" w:eastAsia="Calibri" w:hAnsi="Times New Roman" w:cs="Times New Roman"/>
          <w:i/>
          <w:iCs/>
          <w:lang w:val="en-US"/>
        </w:rPr>
        <w:t xml:space="preserve">Journal of Adolescent and Adult Literacy </w:t>
      </w:r>
      <w:r w:rsidRPr="008E598D">
        <w:rPr>
          <w:rFonts w:ascii="Times New Roman" w:eastAsia="Calibri" w:hAnsi="Times New Roman" w:cs="Times New Roman"/>
          <w:lang w:val="en-US"/>
        </w:rPr>
        <w:t>49 (6), 490-498.</w:t>
      </w:r>
    </w:p>
    <w:p w14:paraId="16ABC0F6" w14:textId="1FAFCC46" w:rsidR="008E598D" w:rsidRPr="008E598D" w:rsidRDefault="008E598D" w:rsidP="008E598D">
      <w:pPr>
        <w:spacing w:after="0" w:line="240" w:lineRule="auto"/>
        <w:ind w:left="284" w:hanging="284"/>
        <w:jc w:val="both"/>
        <w:outlineLvl w:val="0"/>
        <w:rPr>
          <w:rFonts w:ascii="Times New Roman" w:eastAsia="Calibri" w:hAnsi="Times New Roman" w:cs="Times New Roman"/>
          <w:lang w:val="en-US"/>
        </w:rPr>
      </w:pPr>
      <w:r w:rsidRPr="008E598D">
        <w:rPr>
          <w:rFonts w:ascii="Times New Roman" w:eastAsia="Calibri" w:hAnsi="Times New Roman" w:cs="Times New Roman"/>
          <w:lang w:val="en-US"/>
        </w:rPr>
        <w:t xml:space="preserve">Tsakona, V. 2024. </w:t>
      </w:r>
      <w:r w:rsidRPr="008E598D">
        <w:rPr>
          <w:rFonts w:ascii="Times New Roman" w:eastAsia="Calibri" w:hAnsi="Times New Roman" w:cs="Times New Roman"/>
          <w:i/>
          <w:iCs/>
          <w:lang w:val="en-US"/>
        </w:rPr>
        <w:t>Exploring the Sociopragmatics of Online Humor</w:t>
      </w:r>
      <w:r w:rsidRPr="008E598D">
        <w:rPr>
          <w:rFonts w:ascii="Times New Roman" w:eastAsia="Calibri" w:hAnsi="Times New Roman" w:cs="Times New Roman"/>
          <w:lang w:val="en-US"/>
        </w:rPr>
        <w:t>. Amsterdam: John Benjamins.</w:t>
      </w:r>
    </w:p>
    <w:p w14:paraId="157764E2" w14:textId="77777777" w:rsidR="00E14C1F" w:rsidRPr="00E14C1F" w:rsidRDefault="00E14C1F" w:rsidP="00E14C1F">
      <w:pPr>
        <w:spacing w:after="0" w:line="240" w:lineRule="auto"/>
        <w:ind w:left="284" w:hanging="284"/>
        <w:jc w:val="both"/>
        <w:outlineLvl w:val="0"/>
        <w:rPr>
          <w:rFonts w:ascii="Times New Roman" w:hAnsi="Times New Roman" w:cs="Times New Roman"/>
          <w:lang w:val="en-US"/>
        </w:rPr>
      </w:pPr>
      <w:r w:rsidRPr="00E14C1F">
        <w:rPr>
          <w:rFonts w:ascii="Times New Roman" w:hAnsi="Times New Roman" w:cs="Times New Roman"/>
          <w:lang w:val="en-US"/>
        </w:rPr>
        <w:t xml:space="preserve">Weaver, S. 2016. </w:t>
      </w:r>
      <w:r w:rsidRPr="00E14C1F">
        <w:rPr>
          <w:rFonts w:ascii="Times New Roman" w:hAnsi="Times New Roman" w:cs="Times New Roman"/>
          <w:i/>
          <w:lang w:val="en-US"/>
        </w:rPr>
        <w:t>The Rhetoric of Racist Humour: US, UK and Global Race Joking</w:t>
      </w:r>
      <w:r w:rsidRPr="00E14C1F">
        <w:rPr>
          <w:rFonts w:ascii="Times New Roman" w:hAnsi="Times New Roman" w:cs="Times New Roman"/>
          <w:lang w:val="en-US"/>
        </w:rPr>
        <w:t>. London: Routledge.</w:t>
      </w:r>
    </w:p>
    <w:p w14:paraId="7C5A327E" w14:textId="77777777" w:rsidR="00E14C1F" w:rsidRPr="00E14C1F" w:rsidRDefault="00E14C1F" w:rsidP="00E14C1F">
      <w:pPr>
        <w:spacing w:after="0" w:line="240" w:lineRule="auto"/>
        <w:rPr>
          <w:rFonts w:ascii="Times New Roman" w:hAnsi="Times New Roman" w:cs="Times New Roman"/>
          <w:lang w:val="en-US"/>
        </w:rPr>
      </w:pPr>
    </w:p>
    <w:p w14:paraId="6237CC3D" w14:textId="77777777" w:rsidR="00E14C1F" w:rsidRPr="00E14C1F" w:rsidRDefault="00E14C1F" w:rsidP="00E14C1F">
      <w:pPr>
        <w:spacing w:after="0" w:line="240" w:lineRule="auto"/>
        <w:rPr>
          <w:rFonts w:ascii="Times New Roman" w:hAnsi="Times New Roman" w:cs="Times New Roman"/>
          <w:lang w:val="en-US"/>
        </w:rPr>
      </w:pPr>
    </w:p>
    <w:sectPr w:rsidR="00E14C1F" w:rsidRPr="00E14C1F">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A1"/>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A1"/>
    <w:family w:val="swiss"/>
    <w:pitch w:val="variable"/>
    <w:sig w:usb0="E4002EFF" w:usb1="C200247B" w:usb2="00000009" w:usb3="00000000" w:csb0="000001FF" w:csb1="00000000"/>
  </w:font>
  <w:font w:name="Minion3-Regular">
    <w:altName w:val="Yu Gothic"/>
    <w:panose1 w:val="00000000000000000000"/>
    <w:charset w:val="80"/>
    <w:family w:val="auto"/>
    <w:notTrueType/>
    <w:pitch w:val="default"/>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4C1F"/>
    <w:rsid w:val="003F654F"/>
    <w:rsid w:val="004F5294"/>
    <w:rsid w:val="00662107"/>
    <w:rsid w:val="006903D1"/>
    <w:rsid w:val="008E598D"/>
    <w:rsid w:val="00E14C1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220C64"/>
  <w15:chartTrackingRefBased/>
  <w15:docId w15:val="{0EB31C51-8637-4E49-9349-D87981E5D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E14C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E14C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E14C1F"/>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E14C1F"/>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E14C1F"/>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E14C1F"/>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E14C1F"/>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E14C1F"/>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E14C1F"/>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E14C1F"/>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E14C1F"/>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E14C1F"/>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E14C1F"/>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E14C1F"/>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E14C1F"/>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E14C1F"/>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E14C1F"/>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E14C1F"/>
    <w:rPr>
      <w:rFonts w:eastAsiaTheme="majorEastAsia" w:cstheme="majorBidi"/>
      <w:color w:val="272727" w:themeColor="text1" w:themeTint="D8"/>
    </w:rPr>
  </w:style>
  <w:style w:type="paragraph" w:styleId="a3">
    <w:name w:val="Title"/>
    <w:basedOn w:val="a"/>
    <w:next w:val="a"/>
    <w:link w:val="Char"/>
    <w:uiPriority w:val="10"/>
    <w:qFormat/>
    <w:rsid w:val="00E14C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E14C1F"/>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E14C1F"/>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E14C1F"/>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E14C1F"/>
    <w:pPr>
      <w:spacing w:before="160"/>
      <w:jc w:val="center"/>
    </w:pPr>
    <w:rPr>
      <w:i/>
      <w:iCs/>
      <w:color w:val="404040" w:themeColor="text1" w:themeTint="BF"/>
    </w:rPr>
  </w:style>
  <w:style w:type="character" w:customStyle="1" w:styleId="Char1">
    <w:name w:val="Απόσπασμα Char"/>
    <w:basedOn w:val="a0"/>
    <w:link w:val="a5"/>
    <w:uiPriority w:val="29"/>
    <w:rsid w:val="00E14C1F"/>
    <w:rPr>
      <w:i/>
      <w:iCs/>
      <w:color w:val="404040" w:themeColor="text1" w:themeTint="BF"/>
    </w:rPr>
  </w:style>
  <w:style w:type="paragraph" w:styleId="a6">
    <w:name w:val="List Paragraph"/>
    <w:basedOn w:val="a"/>
    <w:uiPriority w:val="34"/>
    <w:qFormat/>
    <w:rsid w:val="00E14C1F"/>
    <w:pPr>
      <w:ind w:left="720"/>
      <w:contextualSpacing/>
    </w:pPr>
  </w:style>
  <w:style w:type="character" w:styleId="a7">
    <w:name w:val="Intense Emphasis"/>
    <w:basedOn w:val="a0"/>
    <w:uiPriority w:val="21"/>
    <w:qFormat/>
    <w:rsid w:val="00E14C1F"/>
    <w:rPr>
      <w:i/>
      <w:iCs/>
      <w:color w:val="0F4761" w:themeColor="accent1" w:themeShade="BF"/>
    </w:rPr>
  </w:style>
  <w:style w:type="paragraph" w:styleId="a8">
    <w:name w:val="Intense Quote"/>
    <w:basedOn w:val="a"/>
    <w:next w:val="a"/>
    <w:link w:val="Char2"/>
    <w:uiPriority w:val="30"/>
    <w:qFormat/>
    <w:rsid w:val="00E14C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E14C1F"/>
    <w:rPr>
      <w:i/>
      <w:iCs/>
      <w:color w:val="0F4761" w:themeColor="accent1" w:themeShade="BF"/>
    </w:rPr>
  </w:style>
  <w:style w:type="character" w:styleId="a9">
    <w:name w:val="Intense Reference"/>
    <w:basedOn w:val="a0"/>
    <w:uiPriority w:val="32"/>
    <w:qFormat/>
    <w:rsid w:val="00E14C1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6631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410</Words>
  <Characters>2215</Characters>
  <Application>Microsoft Office Word</Application>
  <DocSecurity>0</DocSecurity>
  <Lines>18</Lines>
  <Paragraphs>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Vasiliki Tsakona</dc:creator>
  <cp:keywords/>
  <dc:description/>
  <cp:lastModifiedBy>Vasiliki Tsakona</cp:lastModifiedBy>
  <cp:revision>4</cp:revision>
  <dcterms:created xsi:type="dcterms:W3CDTF">2025-05-13T15:15:00Z</dcterms:created>
  <dcterms:modified xsi:type="dcterms:W3CDTF">2025-05-13T15:26:00Z</dcterms:modified>
</cp:coreProperties>
</file>