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38F758" w14:textId="2C7E5C13" w:rsidR="006E73BE" w:rsidRDefault="006E73BE" w:rsidP="006E73BE">
      <w:pPr>
        <w:spacing w:line="360" w:lineRule="auto"/>
        <w:jc w:val="center"/>
        <w:rPr>
          <w:rFonts w:ascii="Times New Roman" w:hAnsi="Times New Roman" w:cs="Times New Roman"/>
          <w:b/>
          <w:bCs/>
        </w:rPr>
      </w:pPr>
      <w:r w:rsidRPr="006E73BE">
        <w:rPr>
          <w:rFonts w:ascii="Times New Roman" w:hAnsi="Times New Roman" w:cs="Times New Roman"/>
          <w:b/>
          <w:bCs/>
        </w:rPr>
        <w:t xml:space="preserve">Apel la candidaturi </w:t>
      </w:r>
      <w:r>
        <w:rPr>
          <w:rFonts w:ascii="Times New Roman" w:hAnsi="Times New Roman" w:cs="Times New Roman"/>
          <w:b/>
          <w:bCs/>
        </w:rPr>
        <w:t xml:space="preserve">pentru </w:t>
      </w:r>
      <w:r w:rsidRPr="00CA2CE2">
        <w:rPr>
          <w:rFonts w:ascii="Times New Roman" w:hAnsi="Times New Roman" w:cs="Times New Roman"/>
          <w:b/>
          <w:bCs/>
        </w:rPr>
        <w:t xml:space="preserve">Premiul UNESCO </w:t>
      </w:r>
      <w:r w:rsidR="00E53EC6" w:rsidRPr="00CA2CE2">
        <w:rPr>
          <w:rFonts w:ascii="Times New Roman" w:hAnsi="Times New Roman" w:cs="Times New Roman"/>
          <w:b/>
          <w:bCs/>
        </w:rPr>
        <w:t>–</w:t>
      </w:r>
      <w:r w:rsidRPr="00CA2CE2">
        <w:rPr>
          <w:rFonts w:ascii="Times New Roman" w:hAnsi="Times New Roman" w:cs="Times New Roman"/>
          <w:b/>
          <w:bCs/>
        </w:rPr>
        <w:t xml:space="preserve"> Educația pentru Cetățenie Globală</w:t>
      </w:r>
    </w:p>
    <w:p w14:paraId="63148EF7" w14:textId="77777777" w:rsidR="006E73BE" w:rsidRPr="00CA2CE2" w:rsidRDefault="006E73BE" w:rsidP="00CA2CE2">
      <w:pPr>
        <w:spacing w:line="360" w:lineRule="auto"/>
        <w:jc w:val="both"/>
        <w:rPr>
          <w:rFonts w:ascii="Times New Roman" w:hAnsi="Times New Roman" w:cs="Times New Roman"/>
        </w:rPr>
      </w:pPr>
    </w:p>
    <w:p w14:paraId="58C73128" w14:textId="4C8D6AF7" w:rsidR="00CA0DA9" w:rsidRDefault="00E53EC6" w:rsidP="00CA2CE2">
      <w:pPr>
        <w:spacing w:line="360" w:lineRule="auto"/>
        <w:jc w:val="both"/>
        <w:rPr>
          <w:rFonts w:ascii="Times New Roman" w:hAnsi="Times New Roman" w:cs="Times New Roman"/>
        </w:rPr>
      </w:pPr>
      <w:r w:rsidRPr="00E53EC6">
        <w:rPr>
          <w:rFonts w:ascii="Times New Roman" w:hAnsi="Times New Roman" w:cs="Times New Roman"/>
        </w:rPr>
        <w:t>Comisia Națională a României pentru UNESCO</w:t>
      </w:r>
      <w:r w:rsidR="00CA2CE2" w:rsidRPr="00CA2CE2">
        <w:rPr>
          <w:rFonts w:ascii="Times New Roman" w:hAnsi="Times New Roman" w:cs="Times New Roman"/>
        </w:rPr>
        <w:t xml:space="preserve"> lansează apelul pentru depunerea candidaturilor la Premiul UNESCO pentru Educația pentru Cetățenie Globală (UNESCO Prize for Global </w:t>
      </w:r>
      <w:proofErr w:type="spellStart"/>
      <w:r w:rsidR="00CA2CE2" w:rsidRPr="00CA2CE2">
        <w:rPr>
          <w:rFonts w:ascii="Times New Roman" w:hAnsi="Times New Roman" w:cs="Times New Roman"/>
        </w:rPr>
        <w:t>Citizenship</w:t>
      </w:r>
      <w:proofErr w:type="spellEnd"/>
      <w:r w:rsidR="00CA2CE2" w:rsidRPr="00CA2CE2">
        <w:rPr>
          <w:rFonts w:ascii="Times New Roman" w:hAnsi="Times New Roman" w:cs="Times New Roman"/>
        </w:rPr>
        <w:t xml:space="preserve"> </w:t>
      </w:r>
      <w:proofErr w:type="spellStart"/>
      <w:r w:rsidR="00CA2CE2" w:rsidRPr="00CA2CE2">
        <w:rPr>
          <w:rFonts w:ascii="Times New Roman" w:hAnsi="Times New Roman" w:cs="Times New Roman"/>
        </w:rPr>
        <w:t>Education</w:t>
      </w:r>
      <w:proofErr w:type="spellEnd"/>
      <w:r w:rsidR="00CA2CE2" w:rsidRPr="00CA2CE2">
        <w:rPr>
          <w:rFonts w:ascii="Times New Roman" w:hAnsi="Times New Roman" w:cs="Times New Roman"/>
        </w:rPr>
        <w:t xml:space="preserve">), o distincție internațională care recompensează o dată la doi ani proiecte și inițiative remarcabile în domeniul educației pentru cetățenie globală. </w:t>
      </w:r>
    </w:p>
    <w:p w14:paraId="35C4D8E9" w14:textId="684D5D65" w:rsidR="00CA2CE2" w:rsidRDefault="00CA2CE2" w:rsidP="00CA2CE2">
      <w:pPr>
        <w:spacing w:line="360" w:lineRule="auto"/>
        <w:jc w:val="both"/>
        <w:rPr>
          <w:rFonts w:ascii="Times New Roman" w:hAnsi="Times New Roman" w:cs="Times New Roman"/>
        </w:rPr>
      </w:pPr>
      <w:r w:rsidRPr="00CA2CE2">
        <w:rPr>
          <w:rFonts w:ascii="Times New Roman" w:hAnsi="Times New Roman" w:cs="Times New Roman"/>
        </w:rPr>
        <w:t>Instituit în 2024 cu sprijinul Republicii Coreea, premiul oferă recunoaștere și vizibilitate internațională, punând în valoare contribuțiile semnificative din întreaga lume.</w:t>
      </w:r>
    </w:p>
    <w:p w14:paraId="4FB55FA2" w14:textId="16522937" w:rsidR="006E73BE" w:rsidRDefault="00E53EC6" w:rsidP="006E73BE">
      <w:pPr>
        <w:spacing w:line="360" w:lineRule="auto"/>
        <w:jc w:val="both"/>
        <w:rPr>
          <w:rFonts w:ascii="Times New Roman" w:hAnsi="Times New Roman" w:cs="Times New Roman"/>
        </w:rPr>
      </w:pPr>
      <w:r>
        <w:rPr>
          <w:rFonts w:ascii="Times New Roman" w:hAnsi="Times New Roman" w:cs="Times New Roman"/>
        </w:rPr>
        <w:t xml:space="preserve">Competiția </w:t>
      </w:r>
      <w:r w:rsidR="006E73BE" w:rsidRPr="00CA2CE2">
        <w:rPr>
          <w:rFonts w:ascii="Times New Roman" w:hAnsi="Times New Roman" w:cs="Times New Roman"/>
        </w:rPr>
        <w:t xml:space="preserve">premiază două proiecte excepționale: unul realizat de o organizație condusă de tineri și unul propus de o persoană, instituție, ONG sau altă entitate. Fiecare </w:t>
      </w:r>
      <w:r>
        <w:rPr>
          <w:rFonts w:ascii="Times New Roman" w:hAnsi="Times New Roman" w:cs="Times New Roman"/>
        </w:rPr>
        <w:t xml:space="preserve">proiect </w:t>
      </w:r>
      <w:r w:rsidR="006E73BE" w:rsidRPr="00CA2CE2">
        <w:rPr>
          <w:rFonts w:ascii="Times New Roman" w:hAnsi="Times New Roman" w:cs="Times New Roman"/>
        </w:rPr>
        <w:t>câștigător primește 50.000 USD pentru a continua și extinde impactul proiectului său.</w:t>
      </w:r>
    </w:p>
    <w:p w14:paraId="3BF75223" w14:textId="41F25B76" w:rsidR="006E73BE" w:rsidRDefault="006E73BE" w:rsidP="006E73BE">
      <w:pPr>
        <w:spacing w:line="360" w:lineRule="auto"/>
        <w:jc w:val="both"/>
        <w:rPr>
          <w:rFonts w:ascii="Times New Roman" w:hAnsi="Times New Roman" w:cs="Times New Roman"/>
        </w:rPr>
      </w:pPr>
      <w:r w:rsidRPr="006E73BE">
        <w:rPr>
          <w:rFonts w:ascii="Times New Roman" w:hAnsi="Times New Roman" w:cs="Times New Roman"/>
        </w:rPr>
        <w:t>Candidaturile trebuie transmise directorului general al UNESCO de către statele membre, prin intermediul comisiilor naționale UNESCO.</w:t>
      </w:r>
    </w:p>
    <w:p w14:paraId="01D81229" w14:textId="62710882" w:rsidR="006E73BE" w:rsidRDefault="006E73BE" w:rsidP="006E73BE">
      <w:pPr>
        <w:spacing w:line="360" w:lineRule="auto"/>
        <w:jc w:val="both"/>
        <w:rPr>
          <w:rFonts w:ascii="Times New Roman" w:hAnsi="Times New Roman" w:cs="Times New Roman"/>
        </w:rPr>
      </w:pPr>
      <w:r w:rsidRPr="00CA2CE2">
        <w:rPr>
          <w:rFonts w:ascii="Times New Roman" w:hAnsi="Times New Roman" w:cs="Times New Roman"/>
        </w:rPr>
        <w:t xml:space="preserve">Propunerile pentru candidatura dumneavoastră pot fi trimise către Comisia Națională a României pentru UNESCO până la </w:t>
      </w:r>
      <w:r w:rsidRPr="00CA2CE2">
        <w:rPr>
          <w:rFonts w:ascii="Times New Roman" w:hAnsi="Times New Roman" w:cs="Times New Roman"/>
          <w:b/>
          <w:bCs/>
        </w:rPr>
        <w:t>18 august 2025</w:t>
      </w:r>
      <w:r w:rsidRPr="00CA2CE2">
        <w:rPr>
          <w:rFonts w:ascii="Times New Roman" w:hAnsi="Times New Roman" w:cs="Times New Roman"/>
        </w:rPr>
        <w:t>, urmând ca nominalizările selectate să fie transmise Secretariatului UNESCO până la termenul oficial de 1 septembrie 2025.</w:t>
      </w:r>
    </w:p>
    <w:p w14:paraId="4535771E" w14:textId="57C0910A" w:rsidR="00CA2CE2" w:rsidRPr="00CA2CE2" w:rsidRDefault="00CA2CE2" w:rsidP="00CA2CE2">
      <w:pPr>
        <w:spacing w:line="360" w:lineRule="auto"/>
        <w:jc w:val="both"/>
        <w:rPr>
          <w:rFonts w:ascii="Times New Roman" w:hAnsi="Times New Roman" w:cs="Times New Roman"/>
        </w:rPr>
      </w:pPr>
      <w:r w:rsidRPr="00CA2CE2">
        <w:rPr>
          <w:rFonts w:ascii="Times New Roman" w:hAnsi="Times New Roman" w:cs="Times New Roman"/>
        </w:rPr>
        <w:t>În viziunea UNESCO, educația pentru cetățenie globală înseamnă a forma cetățeni conștienți de provocările majore ale lumii – de la crize climatice și inegalități sociale, până la discriminare și conflicte – și pregătiți să acționeze cu empatie, spirit critic și respect pentru diversitate.</w:t>
      </w:r>
    </w:p>
    <w:p w14:paraId="13D1DF95" w14:textId="7D22AC3E" w:rsidR="00CA2CE2" w:rsidRPr="00CA2CE2" w:rsidRDefault="00CA2CE2" w:rsidP="00CA2CE2">
      <w:pPr>
        <w:spacing w:line="360" w:lineRule="auto"/>
        <w:jc w:val="both"/>
        <w:rPr>
          <w:rFonts w:ascii="Times New Roman" w:hAnsi="Times New Roman" w:cs="Times New Roman"/>
        </w:rPr>
      </w:pPr>
      <w:r w:rsidRPr="00CA2CE2">
        <w:rPr>
          <w:rFonts w:ascii="Times New Roman" w:hAnsi="Times New Roman" w:cs="Times New Roman"/>
        </w:rPr>
        <w:t>Studenții și absolvenții UB care au dezvoltat sau coordonează proiecte cu impact în comunitate – fie în educație, protecția mediului, incluziune socială, combaterea discursului instigator la ură sau promovarea dialogului intercultural – sunt încurajați să aplice.</w:t>
      </w:r>
    </w:p>
    <w:p w14:paraId="73747044" w14:textId="49032E74" w:rsidR="00CA2CE2" w:rsidRPr="00CA2CE2" w:rsidRDefault="006E73BE" w:rsidP="00CA2CE2">
      <w:pPr>
        <w:spacing w:line="360" w:lineRule="auto"/>
        <w:jc w:val="both"/>
        <w:rPr>
          <w:rFonts w:ascii="Times New Roman" w:hAnsi="Times New Roman" w:cs="Times New Roman"/>
        </w:rPr>
      </w:pPr>
      <w:r w:rsidRPr="00CA2CE2">
        <w:rPr>
          <w:rFonts w:ascii="Times New Roman" w:hAnsi="Times New Roman" w:cs="Times New Roman"/>
        </w:rPr>
        <w:t xml:space="preserve">Universitatea din București </w:t>
      </w:r>
      <w:r w:rsidR="00E53EC6">
        <w:rPr>
          <w:rFonts w:ascii="Times New Roman" w:hAnsi="Times New Roman" w:cs="Times New Roman"/>
        </w:rPr>
        <w:t>este alături de</w:t>
      </w:r>
      <w:r w:rsidRPr="00CA2CE2">
        <w:rPr>
          <w:rFonts w:ascii="Times New Roman" w:hAnsi="Times New Roman" w:cs="Times New Roman"/>
        </w:rPr>
        <w:t xml:space="preserve"> membrii comunității sale și partenerii instituționali </w:t>
      </w:r>
      <w:r w:rsidR="00E53EC6">
        <w:rPr>
          <w:rFonts w:ascii="Times New Roman" w:hAnsi="Times New Roman" w:cs="Times New Roman"/>
        </w:rPr>
        <w:t>care aleg să</w:t>
      </w:r>
      <w:r w:rsidRPr="00CA2CE2">
        <w:rPr>
          <w:rFonts w:ascii="Times New Roman" w:hAnsi="Times New Roman" w:cs="Times New Roman"/>
        </w:rPr>
        <w:t xml:space="preserve"> valorifice această oportunitate pentru a aduce în atenția publicului internațional inițiative inovatoare și proiecte cu impact în promovarea educației pentru cetățenie globală.</w:t>
      </w:r>
    </w:p>
    <w:p w14:paraId="257E9CB4" w14:textId="553D0DD0" w:rsidR="00F22CF5" w:rsidRDefault="00CA2CE2" w:rsidP="00CA2CE2">
      <w:pPr>
        <w:spacing w:line="360" w:lineRule="auto"/>
        <w:jc w:val="both"/>
        <w:rPr>
          <w:rFonts w:ascii="Times New Roman" w:hAnsi="Times New Roman" w:cs="Times New Roman"/>
        </w:rPr>
      </w:pPr>
      <w:r w:rsidRPr="00CA2CE2">
        <w:rPr>
          <w:rFonts w:ascii="Times New Roman" w:hAnsi="Times New Roman" w:cs="Times New Roman"/>
        </w:rPr>
        <w:t xml:space="preserve">Pentru </w:t>
      </w:r>
      <w:r w:rsidR="006E73BE">
        <w:rPr>
          <w:rFonts w:ascii="Times New Roman" w:hAnsi="Times New Roman" w:cs="Times New Roman"/>
        </w:rPr>
        <w:t xml:space="preserve">mai multe </w:t>
      </w:r>
      <w:r w:rsidRPr="00CA2CE2">
        <w:rPr>
          <w:rFonts w:ascii="Times New Roman" w:hAnsi="Times New Roman" w:cs="Times New Roman"/>
        </w:rPr>
        <w:t>detalii privind criteriile de eligibilitate și procesul de nominalizare, accesați pagina oficială UNESCO</w:t>
      </w:r>
      <w:r w:rsidR="006E73BE">
        <w:rPr>
          <w:rFonts w:ascii="Times New Roman" w:hAnsi="Times New Roman" w:cs="Times New Roman"/>
        </w:rPr>
        <w:t xml:space="preserve"> </w:t>
      </w:r>
      <w:hyperlink r:id="rId4" w:history="1">
        <w:r w:rsidR="006E73BE" w:rsidRPr="006E73BE">
          <w:rPr>
            <w:rStyle w:val="Hyperlink"/>
            <w:rFonts w:ascii="Times New Roman" w:hAnsi="Times New Roman" w:cs="Times New Roman"/>
          </w:rPr>
          <w:t>aici</w:t>
        </w:r>
      </w:hyperlink>
      <w:r w:rsidR="006E73BE">
        <w:rPr>
          <w:rFonts w:ascii="Times New Roman" w:hAnsi="Times New Roman" w:cs="Times New Roman"/>
        </w:rPr>
        <w:t xml:space="preserve"> și </w:t>
      </w:r>
      <w:hyperlink r:id="rId5" w:history="1">
        <w:r w:rsidR="006E73BE" w:rsidRPr="006E73BE">
          <w:rPr>
            <w:rStyle w:val="Hyperlink"/>
            <w:rFonts w:ascii="Times New Roman" w:hAnsi="Times New Roman" w:cs="Times New Roman"/>
          </w:rPr>
          <w:t>aici</w:t>
        </w:r>
      </w:hyperlink>
      <w:r w:rsidR="006E73BE">
        <w:rPr>
          <w:rFonts w:ascii="Times New Roman" w:hAnsi="Times New Roman" w:cs="Times New Roman"/>
        </w:rPr>
        <w:t>.</w:t>
      </w:r>
    </w:p>
    <w:p w14:paraId="5F82D7BF" w14:textId="77777777" w:rsidR="00CA2CE2" w:rsidRDefault="00CA2CE2" w:rsidP="00CA2CE2">
      <w:pPr>
        <w:spacing w:line="360" w:lineRule="auto"/>
        <w:jc w:val="both"/>
        <w:rPr>
          <w:rFonts w:ascii="Times New Roman" w:hAnsi="Times New Roman" w:cs="Times New Roman"/>
        </w:rPr>
      </w:pPr>
    </w:p>
    <w:p w14:paraId="21EB373A" w14:textId="77777777" w:rsidR="00CA2CE2" w:rsidRDefault="00CA2CE2" w:rsidP="00CA2CE2">
      <w:pPr>
        <w:spacing w:line="360" w:lineRule="auto"/>
        <w:jc w:val="both"/>
        <w:rPr>
          <w:rFonts w:ascii="Times New Roman" w:hAnsi="Times New Roman" w:cs="Times New Roman"/>
        </w:rPr>
      </w:pPr>
    </w:p>
    <w:p w14:paraId="71980910" w14:textId="77777777" w:rsidR="00CA2CE2" w:rsidRDefault="00CA2CE2" w:rsidP="00CA2CE2">
      <w:pPr>
        <w:spacing w:line="360" w:lineRule="auto"/>
        <w:jc w:val="both"/>
        <w:rPr>
          <w:rFonts w:ascii="Times New Roman" w:hAnsi="Times New Roman" w:cs="Times New Roman"/>
        </w:rPr>
      </w:pPr>
    </w:p>
    <w:p w14:paraId="5C9A238C" w14:textId="77777777" w:rsidR="00CA2CE2" w:rsidRDefault="00CA2CE2" w:rsidP="00CA2CE2">
      <w:pPr>
        <w:spacing w:line="360" w:lineRule="auto"/>
        <w:jc w:val="both"/>
        <w:rPr>
          <w:rFonts w:ascii="Times New Roman" w:hAnsi="Times New Roman" w:cs="Times New Roman"/>
        </w:rPr>
      </w:pPr>
    </w:p>
    <w:p w14:paraId="1B1394B3" w14:textId="77777777" w:rsidR="00CA2CE2" w:rsidRDefault="00CA2CE2" w:rsidP="00CA2CE2">
      <w:pPr>
        <w:spacing w:line="360" w:lineRule="auto"/>
        <w:jc w:val="both"/>
        <w:rPr>
          <w:rFonts w:ascii="Times New Roman" w:hAnsi="Times New Roman" w:cs="Times New Roman"/>
        </w:rPr>
      </w:pPr>
    </w:p>
    <w:p w14:paraId="7C0B259D" w14:textId="77777777" w:rsidR="00CA2CE2" w:rsidRDefault="00CA2CE2" w:rsidP="00CA2CE2">
      <w:pPr>
        <w:spacing w:line="360" w:lineRule="auto"/>
        <w:jc w:val="both"/>
        <w:rPr>
          <w:rFonts w:ascii="Times New Roman" w:hAnsi="Times New Roman" w:cs="Times New Roman"/>
        </w:rPr>
      </w:pPr>
    </w:p>
    <w:p w14:paraId="1D5F0EF2" w14:textId="77777777" w:rsidR="00CA2CE2" w:rsidRDefault="00CA2CE2" w:rsidP="00CA2CE2">
      <w:pPr>
        <w:spacing w:line="360" w:lineRule="auto"/>
        <w:jc w:val="both"/>
        <w:rPr>
          <w:rFonts w:ascii="Times New Roman" w:hAnsi="Times New Roman" w:cs="Times New Roman"/>
        </w:rPr>
      </w:pPr>
    </w:p>
    <w:p w14:paraId="6FB2A50F" w14:textId="77777777" w:rsidR="00CA2CE2" w:rsidRDefault="00CA2CE2" w:rsidP="00CA2CE2">
      <w:pPr>
        <w:spacing w:line="360" w:lineRule="auto"/>
        <w:jc w:val="both"/>
        <w:rPr>
          <w:rFonts w:ascii="Times New Roman" w:hAnsi="Times New Roman" w:cs="Times New Roman"/>
        </w:rPr>
      </w:pPr>
    </w:p>
    <w:p w14:paraId="61895198" w14:textId="77777777" w:rsidR="00CA2CE2" w:rsidRDefault="00CA2CE2" w:rsidP="00CA2CE2">
      <w:pPr>
        <w:spacing w:line="360" w:lineRule="auto"/>
        <w:jc w:val="both"/>
        <w:rPr>
          <w:rFonts w:ascii="Times New Roman" w:hAnsi="Times New Roman" w:cs="Times New Roman"/>
        </w:rPr>
      </w:pPr>
    </w:p>
    <w:p w14:paraId="26FCB62E" w14:textId="77777777" w:rsidR="00CA2CE2" w:rsidRDefault="00CA2CE2" w:rsidP="00CA2CE2">
      <w:pPr>
        <w:spacing w:line="360" w:lineRule="auto"/>
        <w:jc w:val="both"/>
        <w:rPr>
          <w:rFonts w:ascii="Times New Roman" w:hAnsi="Times New Roman" w:cs="Times New Roman"/>
        </w:rPr>
      </w:pPr>
    </w:p>
    <w:p w14:paraId="57D22453" w14:textId="77777777" w:rsidR="00CA2CE2" w:rsidRDefault="00CA2CE2" w:rsidP="00CA2CE2">
      <w:pPr>
        <w:spacing w:line="360" w:lineRule="auto"/>
        <w:jc w:val="both"/>
        <w:rPr>
          <w:rFonts w:ascii="Times New Roman" w:hAnsi="Times New Roman" w:cs="Times New Roman"/>
        </w:rPr>
      </w:pPr>
    </w:p>
    <w:p w14:paraId="2BAA89D7" w14:textId="77777777" w:rsidR="00CA2CE2" w:rsidRDefault="00CA2CE2" w:rsidP="00CA2CE2">
      <w:pPr>
        <w:spacing w:line="360" w:lineRule="auto"/>
        <w:jc w:val="both"/>
        <w:rPr>
          <w:rFonts w:ascii="Times New Roman" w:hAnsi="Times New Roman" w:cs="Times New Roman"/>
        </w:rPr>
      </w:pPr>
    </w:p>
    <w:p w14:paraId="0F2FB579" w14:textId="77777777" w:rsidR="00CA2CE2" w:rsidRDefault="00CA2CE2" w:rsidP="00CA2CE2">
      <w:pPr>
        <w:spacing w:line="360" w:lineRule="auto"/>
        <w:jc w:val="both"/>
        <w:rPr>
          <w:rFonts w:ascii="Times New Roman" w:hAnsi="Times New Roman" w:cs="Times New Roman"/>
        </w:rPr>
      </w:pPr>
    </w:p>
    <w:p w14:paraId="39C86934" w14:textId="77777777" w:rsidR="00CA2CE2" w:rsidRDefault="00CA2CE2" w:rsidP="00CA2CE2">
      <w:pPr>
        <w:spacing w:line="360" w:lineRule="auto"/>
        <w:jc w:val="both"/>
        <w:rPr>
          <w:rFonts w:ascii="Times New Roman" w:hAnsi="Times New Roman" w:cs="Times New Roman"/>
        </w:rPr>
      </w:pPr>
    </w:p>
    <w:p w14:paraId="2B0E318F" w14:textId="77777777" w:rsidR="00CA2CE2" w:rsidRDefault="00CA2CE2" w:rsidP="00CA2CE2">
      <w:pPr>
        <w:spacing w:line="360" w:lineRule="auto"/>
        <w:jc w:val="both"/>
        <w:rPr>
          <w:rFonts w:ascii="Times New Roman" w:hAnsi="Times New Roman" w:cs="Times New Roman"/>
        </w:rPr>
      </w:pPr>
    </w:p>
    <w:p w14:paraId="60F98367" w14:textId="77777777" w:rsidR="00CA2CE2" w:rsidRDefault="00CA2CE2" w:rsidP="00CA2CE2">
      <w:pPr>
        <w:spacing w:line="360" w:lineRule="auto"/>
        <w:jc w:val="both"/>
        <w:rPr>
          <w:rFonts w:ascii="Times New Roman" w:hAnsi="Times New Roman" w:cs="Times New Roman"/>
        </w:rPr>
      </w:pPr>
    </w:p>
    <w:p w14:paraId="40B7B448" w14:textId="77777777" w:rsidR="00CA2CE2" w:rsidRDefault="00CA2CE2" w:rsidP="00CA2CE2">
      <w:pPr>
        <w:spacing w:line="360" w:lineRule="auto"/>
        <w:jc w:val="both"/>
        <w:rPr>
          <w:rFonts w:ascii="Times New Roman" w:hAnsi="Times New Roman" w:cs="Times New Roman"/>
        </w:rPr>
      </w:pPr>
    </w:p>
    <w:p w14:paraId="5642E085" w14:textId="77777777" w:rsidR="00CA2CE2" w:rsidRDefault="00CA2CE2" w:rsidP="00CA2CE2">
      <w:pPr>
        <w:spacing w:line="360" w:lineRule="auto"/>
        <w:jc w:val="center"/>
        <w:rPr>
          <w:rFonts w:ascii="Times New Roman" w:hAnsi="Times New Roman" w:cs="Times New Roman"/>
          <w:b/>
          <w:bCs/>
        </w:rPr>
      </w:pPr>
      <w:r w:rsidRPr="00CA2CE2">
        <w:rPr>
          <w:rFonts w:ascii="Times New Roman" w:hAnsi="Times New Roman" w:cs="Times New Roman"/>
          <w:b/>
          <w:bCs/>
        </w:rPr>
        <w:t>Premiul UNESCO pentru Educația pentru Cetățenie Globală – apel la candidaturi</w:t>
      </w:r>
    </w:p>
    <w:p w14:paraId="58D1E5CF" w14:textId="77777777" w:rsidR="00CA2CE2" w:rsidRPr="00CA2CE2" w:rsidRDefault="00CA2CE2" w:rsidP="00CA2CE2">
      <w:pPr>
        <w:spacing w:line="360" w:lineRule="auto"/>
        <w:jc w:val="center"/>
        <w:rPr>
          <w:rFonts w:ascii="Times New Roman" w:hAnsi="Times New Roman" w:cs="Times New Roman"/>
        </w:rPr>
      </w:pPr>
    </w:p>
    <w:p w14:paraId="5EAC28D4" w14:textId="77777777" w:rsidR="00CA2CE2" w:rsidRPr="00CA2CE2" w:rsidRDefault="00CA2CE2" w:rsidP="00CA2CE2">
      <w:pPr>
        <w:spacing w:line="360" w:lineRule="auto"/>
        <w:jc w:val="both"/>
        <w:rPr>
          <w:rFonts w:ascii="Times New Roman" w:hAnsi="Times New Roman" w:cs="Times New Roman"/>
        </w:rPr>
      </w:pPr>
      <w:r w:rsidRPr="00CA2CE2">
        <w:rPr>
          <w:rFonts w:ascii="Times New Roman" w:hAnsi="Times New Roman" w:cs="Times New Roman"/>
        </w:rPr>
        <w:t xml:space="preserve">Comisia UNESCO lansează apelul pentru depunerea candidaturilor la Premiul UNESCO pentru Educația pentru Cetățenie Globală (UNESCO Prize for Global </w:t>
      </w:r>
      <w:proofErr w:type="spellStart"/>
      <w:r w:rsidRPr="00CA2CE2">
        <w:rPr>
          <w:rFonts w:ascii="Times New Roman" w:hAnsi="Times New Roman" w:cs="Times New Roman"/>
        </w:rPr>
        <w:t>Citizenship</w:t>
      </w:r>
      <w:proofErr w:type="spellEnd"/>
      <w:r w:rsidRPr="00CA2CE2">
        <w:rPr>
          <w:rFonts w:ascii="Times New Roman" w:hAnsi="Times New Roman" w:cs="Times New Roman"/>
        </w:rPr>
        <w:t xml:space="preserve"> </w:t>
      </w:r>
      <w:proofErr w:type="spellStart"/>
      <w:r w:rsidRPr="00CA2CE2">
        <w:rPr>
          <w:rFonts w:ascii="Times New Roman" w:hAnsi="Times New Roman" w:cs="Times New Roman"/>
        </w:rPr>
        <w:t>Education</w:t>
      </w:r>
      <w:proofErr w:type="spellEnd"/>
      <w:r w:rsidRPr="00CA2CE2">
        <w:rPr>
          <w:rFonts w:ascii="Times New Roman" w:hAnsi="Times New Roman" w:cs="Times New Roman"/>
        </w:rPr>
        <w:t>), o distincție internațională care recompensează o dată la doi ani proiecte și inițiative remarcabile în domeniul educației pentru cetățenie globală. Instituit în 2024, cu sprijinul Republicii Coreea, premiul oferă recunoaștere și vizibilitate internațională, punând în valoare contribuțiile semnificative din întreaga lume.</w:t>
      </w:r>
    </w:p>
    <w:p w14:paraId="0DA7370B" w14:textId="77777777" w:rsidR="00CA2CE2" w:rsidRPr="00CA2CE2" w:rsidRDefault="00CA2CE2" w:rsidP="00CA2CE2">
      <w:pPr>
        <w:spacing w:line="360" w:lineRule="auto"/>
        <w:jc w:val="both"/>
        <w:rPr>
          <w:rFonts w:ascii="Times New Roman" w:hAnsi="Times New Roman" w:cs="Times New Roman"/>
        </w:rPr>
      </w:pPr>
      <w:r w:rsidRPr="00CA2CE2">
        <w:rPr>
          <w:rFonts w:ascii="Times New Roman" w:hAnsi="Times New Roman" w:cs="Times New Roman"/>
        </w:rPr>
        <w:t xml:space="preserve">Competiția este deschisă organizațiilor conduse de tineri sau persoanelor fizice, precum și instituțiilor și organizațiilor neguvernamentale. Un juriu internațional selectează două proiecte câștigătoare, câte unul pentru fiecare categorie, iar fiecare laureat primește un premiu de 50.000 </w:t>
      </w:r>
      <w:r w:rsidRPr="00CA2CE2">
        <w:rPr>
          <w:rFonts w:ascii="Times New Roman" w:hAnsi="Times New Roman" w:cs="Times New Roman"/>
        </w:rPr>
        <w:lastRenderedPageBreak/>
        <w:t>USD. Candidaturile sunt transmise directorului general al UNESCO de către statele membre, prin intermediul comisiilor naționale UNESCO.</w:t>
      </w:r>
    </w:p>
    <w:p w14:paraId="62F7554B" w14:textId="77777777" w:rsidR="00CA2CE2" w:rsidRPr="00CA2CE2" w:rsidRDefault="00CA2CE2" w:rsidP="00CA2CE2">
      <w:pPr>
        <w:spacing w:line="360" w:lineRule="auto"/>
        <w:jc w:val="both"/>
        <w:rPr>
          <w:rFonts w:ascii="Times New Roman" w:hAnsi="Times New Roman" w:cs="Times New Roman"/>
        </w:rPr>
      </w:pPr>
      <w:r w:rsidRPr="00CA2CE2">
        <w:rPr>
          <w:rFonts w:ascii="Times New Roman" w:hAnsi="Times New Roman" w:cs="Times New Roman"/>
        </w:rPr>
        <w:t>Comisia Națională a României pentru UNESCO poate înainta Secretariatului UNESCO maximum trei nominalizări, termenul-limită pentru transmiterea propunerilor fiind 1 septembrie 2025. În acest context, persoanele și organizațiile interesate pot trimite propunerile de candidaturi către Comisia Națională a României pentru UNESCO până la data de 18 august 2025, la adresa de e-mail office@cnr-unesco.ro.</w:t>
      </w:r>
    </w:p>
    <w:p w14:paraId="45901635" w14:textId="77777777" w:rsidR="00CA2CE2" w:rsidRPr="00CA2CE2" w:rsidRDefault="00CA2CE2" w:rsidP="00CA2CE2">
      <w:pPr>
        <w:spacing w:line="360" w:lineRule="auto"/>
        <w:jc w:val="both"/>
        <w:rPr>
          <w:rFonts w:ascii="Times New Roman" w:hAnsi="Times New Roman" w:cs="Times New Roman"/>
        </w:rPr>
      </w:pPr>
      <w:r w:rsidRPr="00CA2CE2">
        <w:rPr>
          <w:rFonts w:ascii="Times New Roman" w:hAnsi="Times New Roman" w:cs="Times New Roman"/>
        </w:rPr>
        <w:t>Mai multe informații despre condițiile de eligibilitate, criteriile de selecție și modul de aplicare pot fi consultate pe site-ul Comisiei Naționale a României pentru UNESCO, precum și în documentele de orientare puse la dispoziție de organizatori. Accesul la platforma oficială de aplicare va fi acordat ulterior, pentru completarea formularului cu datele solicitate.</w:t>
      </w:r>
    </w:p>
    <w:p w14:paraId="43B0C1AD" w14:textId="77777777" w:rsidR="00CA2CE2" w:rsidRPr="00CA2CE2" w:rsidRDefault="00CA2CE2" w:rsidP="00CA2CE2">
      <w:pPr>
        <w:spacing w:line="360" w:lineRule="auto"/>
        <w:jc w:val="both"/>
        <w:rPr>
          <w:rFonts w:ascii="Times New Roman" w:hAnsi="Times New Roman" w:cs="Times New Roman"/>
        </w:rPr>
      </w:pPr>
      <w:r w:rsidRPr="00CA2CE2">
        <w:rPr>
          <w:rFonts w:ascii="Times New Roman" w:hAnsi="Times New Roman" w:cs="Times New Roman"/>
        </w:rPr>
        <w:t>Universitatea din București încurajează membrii comunității sale și partenerii instituționali să valorifice această oportunitate pentru a aduce în atenția publicului internațional inițiative inovatoare și proiecte cu impact în promovarea educației pentru cetățenie globală.</w:t>
      </w:r>
    </w:p>
    <w:p w14:paraId="32AE0134" w14:textId="77777777" w:rsidR="00CA2CE2" w:rsidRPr="00F22CF5" w:rsidRDefault="00CA2CE2" w:rsidP="00CA2CE2">
      <w:pPr>
        <w:spacing w:line="360" w:lineRule="auto"/>
        <w:jc w:val="both"/>
        <w:rPr>
          <w:rFonts w:ascii="Times New Roman" w:hAnsi="Times New Roman" w:cs="Times New Roman"/>
        </w:rPr>
      </w:pPr>
    </w:p>
    <w:sectPr w:rsidR="00CA2CE2" w:rsidRPr="00F22CF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CF5"/>
    <w:rsid w:val="000E72B8"/>
    <w:rsid w:val="006E73BE"/>
    <w:rsid w:val="009C70B6"/>
    <w:rsid w:val="00CA0DA9"/>
    <w:rsid w:val="00CA2CE2"/>
    <w:rsid w:val="00E53EC6"/>
    <w:rsid w:val="00E92E9C"/>
    <w:rsid w:val="00F22CF5"/>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61B5BA"/>
  <w15:chartTrackingRefBased/>
  <w15:docId w15:val="{862A1CCC-F33C-4304-B297-DDAB52CB0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2CF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2CF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2CF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2CF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2CF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2CF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2CF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2CF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2CF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2CF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22CF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2CF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2CF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2CF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2C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2C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2C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2CF5"/>
    <w:rPr>
      <w:rFonts w:eastAsiaTheme="majorEastAsia" w:cstheme="majorBidi"/>
      <w:color w:val="272727" w:themeColor="text1" w:themeTint="D8"/>
    </w:rPr>
  </w:style>
  <w:style w:type="paragraph" w:styleId="Title">
    <w:name w:val="Title"/>
    <w:basedOn w:val="Normal"/>
    <w:next w:val="Normal"/>
    <w:link w:val="TitleChar"/>
    <w:uiPriority w:val="10"/>
    <w:qFormat/>
    <w:rsid w:val="00F22C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22C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2CF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22C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2CF5"/>
    <w:pPr>
      <w:spacing w:before="160"/>
      <w:jc w:val="center"/>
    </w:pPr>
    <w:rPr>
      <w:i/>
      <w:iCs/>
      <w:color w:val="404040" w:themeColor="text1" w:themeTint="BF"/>
    </w:rPr>
  </w:style>
  <w:style w:type="character" w:customStyle="1" w:styleId="QuoteChar">
    <w:name w:val="Quote Char"/>
    <w:basedOn w:val="DefaultParagraphFont"/>
    <w:link w:val="Quote"/>
    <w:uiPriority w:val="29"/>
    <w:rsid w:val="00F22CF5"/>
    <w:rPr>
      <w:i/>
      <w:iCs/>
      <w:color w:val="404040" w:themeColor="text1" w:themeTint="BF"/>
    </w:rPr>
  </w:style>
  <w:style w:type="paragraph" w:styleId="ListParagraph">
    <w:name w:val="List Paragraph"/>
    <w:basedOn w:val="Normal"/>
    <w:uiPriority w:val="34"/>
    <w:qFormat/>
    <w:rsid w:val="00F22CF5"/>
    <w:pPr>
      <w:ind w:left="720"/>
      <w:contextualSpacing/>
    </w:pPr>
  </w:style>
  <w:style w:type="character" w:styleId="IntenseEmphasis">
    <w:name w:val="Intense Emphasis"/>
    <w:basedOn w:val="DefaultParagraphFont"/>
    <w:uiPriority w:val="21"/>
    <w:qFormat/>
    <w:rsid w:val="00F22CF5"/>
    <w:rPr>
      <w:i/>
      <w:iCs/>
      <w:color w:val="0F4761" w:themeColor="accent1" w:themeShade="BF"/>
    </w:rPr>
  </w:style>
  <w:style w:type="paragraph" w:styleId="IntenseQuote">
    <w:name w:val="Intense Quote"/>
    <w:basedOn w:val="Normal"/>
    <w:next w:val="Normal"/>
    <w:link w:val="IntenseQuoteChar"/>
    <w:uiPriority w:val="30"/>
    <w:qFormat/>
    <w:rsid w:val="00F22C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2CF5"/>
    <w:rPr>
      <w:i/>
      <w:iCs/>
      <w:color w:val="0F4761" w:themeColor="accent1" w:themeShade="BF"/>
    </w:rPr>
  </w:style>
  <w:style w:type="character" w:styleId="IntenseReference">
    <w:name w:val="Intense Reference"/>
    <w:basedOn w:val="DefaultParagraphFont"/>
    <w:uiPriority w:val="32"/>
    <w:qFormat/>
    <w:rsid w:val="00F22CF5"/>
    <w:rPr>
      <w:b/>
      <w:bCs/>
      <w:smallCaps/>
      <w:color w:val="0F4761" w:themeColor="accent1" w:themeShade="BF"/>
      <w:spacing w:val="5"/>
    </w:rPr>
  </w:style>
  <w:style w:type="character" w:styleId="Hyperlink">
    <w:name w:val="Hyperlink"/>
    <w:basedOn w:val="DefaultParagraphFont"/>
    <w:uiPriority w:val="99"/>
    <w:unhideWhenUsed/>
    <w:rsid w:val="006E73BE"/>
    <w:rPr>
      <w:color w:val="467886" w:themeColor="hyperlink"/>
      <w:u w:val="single"/>
    </w:rPr>
  </w:style>
  <w:style w:type="character" w:styleId="UnresolvedMention">
    <w:name w:val="Unresolved Mention"/>
    <w:basedOn w:val="DefaultParagraphFont"/>
    <w:uiPriority w:val="99"/>
    <w:semiHidden/>
    <w:unhideWhenUsed/>
    <w:rsid w:val="006E73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cnr-unesco.ro/ro/activitate/premiul-unesco-pentru-educatia-pentru-cetatenie-globala" TargetMode="External"/><Relationship Id="rId4" Type="http://schemas.openxmlformats.org/officeDocument/2006/relationships/hyperlink" Target="https://www.unesco.org/en/prizes/global-citizenship-education"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658</Words>
  <Characters>3821</Characters>
  <Application>Microsoft Office Word</Application>
  <DocSecurity>0</DocSecurity>
  <Lines>31</Lines>
  <Paragraphs>8</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4471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DORIN-LUCA MANOLE</cp:lastModifiedBy>
  <cp:revision>2</cp:revision>
  <dcterms:created xsi:type="dcterms:W3CDTF">2025-08-14T16:28:00Z</dcterms:created>
  <dcterms:modified xsi:type="dcterms:W3CDTF">2025-08-14T16:28:00Z</dcterms:modified>
</cp:coreProperties>
</file>