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48419" w14:textId="6114EC04" w:rsidR="005D01B5" w:rsidRPr="005D01B5" w:rsidRDefault="005D01B5" w:rsidP="005D01B5">
      <w:pPr>
        <w:jc w:val="both"/>
        <w:rPr>
          <w:rFonts w:ascii="Times New Roman" w:hAnsi="Times New Roman"/>
          <w:b/>
          <w:bCs/>
          <w:sz w:val="20"/>
          <w:szCs w:val="20"/>
          <w:lang w:val="en-GB"/>
        </w:rPr>
      </w:pPr>
      <w:r w:rsidRPr="005D01B5">
        <w:rPr>
          <w:rFonts w:ascii="Times New Roman" w:hAnsi="Times New Roman"/>
          <w:b/>
          <w:bCs/>
          <w:sz w:val="20"/>
          <w:szCs w:val="20"/>
          <w:lang w:val="en-GB"/>
        </w:rPr>
        <w:t>Stage I Summary</w:t>
      </w:r>
    </w:p>
    <w:p w14:paraId="35D669AB" w14:textId="42A5DE35" w:rsidR="005D01B5" w:rsidRPr="005D01B5" w:rsidRDefault="005D01B5" w:rsidP="005D01B5">
      <w:pPr>
        <w:ind w:firstLine="720"/>
        <w:jc w:val="both"/>
        <w:rPr>
          <w:rFonts w:ascii="Times New Roman" w:hAnsi="Times New Roman"/>
          <w:sz w:val="20"/>
          <w:szCs w:val="20"/>
          <w:lang w:val="en-GB"/>
        </w:rPr>
      </w:pPr>
      <w:r w:rsidRPr="005D01B5">
        <w:rPr>
          <w:rFonts w:ascii="Times New Roman" w:hAnsi="Times New Roman"/>
          <w:sz w:val="20"/>
          <w:szCs w:val="20"/>
          <w:lang w:val="en-GB"/>
        </w:rPr>
        <w:t>The general objective of this stage was the synthesis and physicochemical characterization of collagen-based dressings loaded with Au/Ag nanoparticles functionalized with active plant extracts, as well as the evaluation of the release kinetics and stability of the bioactive compounds. To achieve this goal, activities A1.1–A1.9 were carried out, covering the entire research flow, from obtaining extracts, biological evaluation, selection of compounds and matrices, synthesis of nanoparticles, and obtaining high-purity collagen. Five extraction schemes (enzymatic, non-enzymatic, in aqueous solutions, hydroalcoholic, ultrasound-assisted) were developed and compared. The enzymatic variant in citrate buffer yielded the highest yields, while hydroalcoholic extractions produced extracts richer in polyphenols/flavonoids. The chemical profile was detailed thr</w:t>
      </w:r>
      <w:r>
        <w:rPr>
          <w:rFonts w:ascii="Times New Roman" w:hAnsi="Times New Roman"/>
          <w:sz w:val="20"/>
          <w:szCs w:val="20"/>
          <w:lang w:val="en-GB"/>
        </w:rPr>
        <w:t>o</w:t>
      </w:r>
      <w:r w:rsidRPr="005D01B5">
        <w:rPr>
          <w:rFonts w:ascii="Times New Roman" w:hAnsi="Times New Roman"/>
          <w:sz w:val="20"/>
          <w:szCs w:val="20"/>
          <w:lang w:val="en-GB"/>
        </w:rPr>
        <w:t>u</w:t>
      </w:r>
      <w:r>
        <w:rPr>
          <w:rFonts w:ascii="Times New Roman" w:hAnsi="Times New Roman"/>
          <w:sz w:val="20"/>
          <w:szCs w:val="20"/>
          <w:lang w:val="en-GB"/>
        </w:rPr>
        <w:t>gh</w:t>
      </w:r>
      <w:r w:rsidRPr="005D01B5">
        <w:rPr>
          <w:rFonts w:ascii="Times New Roman" w:hAnsi="Times New Roman"/>
          <w:sz w:val="20"/>
          <w:szCs w:val="20"/>
          <w:lang w:val="en-GB"/>
        </w:rPr>
        <w:t xml:space="preserve"> FTIR, TPC/TFC, and multiple antioxidant </w:t>
      </w:r>
      <w:r>
        <w:rPr>
          <w:rFonts w:ascii="Times New Roman" w:hAnsi="Times New Roman"/>
          <w:sz w:val="20"/>
          <w:szCs w:val="20"/>
          <w:lang w:val="en-GB"/>
        </w:rPr>
        <w:t>assay</w:t>
      </w:r>
      <w:r w:rsidRPr="005D01B5">
        <w:rPr>
          <w:rFonts w:ascii="Times New Roman" w:hAnsi="Times New Roman"/>
          <w:sz w:val="20"/>
          <w:szCs w:val="20"/>
          <w:lang w:val="en-GB"/>
        </w:rPr>
        <w:t>s (DPPH, FRAP, CUPRAC, ABTS, NO), with the extracts showing the best yield/bioactive content/antioxidant activity and metal nanoparticle reduction/capping capacity being selected.</w:t>
      </w:r>
    </w:p>
    <w:p w14:paraId="7DA0A3C1" w14:textId="3AE3637F" w:rsidR="005D01B5" w:rsidRPr="005D01B5" w:rsidRDefault="005D01B5" w:rsidP="005D01B5">
      <w:pPr>
        <w:ind w:firstLine="720"/>
        <w:jc w:val="both"/>
        <w:rPr>
          <w:rFonts w:ascii="Times New Roman" w:hAnsi="Times New Roman"/>
          <w:sz w:val="20"/>
          <w:szCs w:val="20"/>
          <w:lang w:val="en-GB"/>
        </w:rPr>
      </w:pPr>
      <w:r w:rsidRPr="005D01B5">
        <w:rPr>
          <w:rFonts w:ascii="Times New Roman" w:hAnsi="Times New Roman"/>
          <w:sz w:val="20"/>
          <w:szCs w:val="20"/>
          <w:lang w:val="en-GB"/>
        </w:rPr>
        <w:t xml:space="preserve">The extracts were tested on Gram-positive, Gram-negative bacteria, and yeasts. The highest potential for use as natural antimicrobial agents was revealed by extracts from </w:t>
      </w:r>
      <w:r w:rsidRPr="005D01B5">
        <w:rPr>
          <w:rFonts w:ascii="Times New Roman" w:hAnsi="Times New Roman"/>
          <w:i/>
          <w:iCs/>
          <w:sz w:val="20"/>
          <w:szCs w:val="20"/>
          <w:lang w:val="en-GB"/>
        </w:rPr>
        <w:t>Curcuma longa</w:t>
      </w:r>
      <w:r w:rsidRPr="005D01B5">
        <w:rPr>
          <w:rFonts w:ascii="Times New Roman" w:hAnsi="Times New Roman"/>
          <w:sz w:val="20"/>
          <w:szCs w:val="20"/>
          <w:lang w:val="en-GB"/>
        </w:rPr>
        <w:t xml:space="preserve">, </w:t>
      </w:r>
      <w:proofErr w:type="spellStart"/>
      <w:r w:rsidRPr="005D01B5">
        <w:rPr>
          <w:rFonts w:ascii="Times New Roman" w:hAnsi="Times New Roman"/>
          <w:i/>
          <w:iCs/>
          <w:sz w:val="20"/>
          <w:szCs w:val="20"/>
          <w:lang w:val="en-GB"/>
        </w:rPr>
        <w:t>Tamarix</w:t>
      </w:r>
      <w:proofErr w:type="spellEnd"/>
      <w:r w:rsidRPr="005D01B5">
        <w:rPr>
          <w:rFonts w:ascii="Times New Roman" w:hAnsi="Times New Roman"/>
          <w:i/>
          <w:iCs/>
          <w:sz w:val="20"/>
          <w:szCs w:val="20"/>
          <w:lang w:val="en-GB"/>
        </w:rPr>
        <w:t xml:space="preserve"> </w:t>
      </w:r>
      <w:proofErr w:type="spellStart"/>
      <w:r w:rsidRPr="005D01B5">
        <w:rPr>
          <w:rFonts w:ascii="Times New Roman" w:hAnsi="Times New Roman"/>
          <w:i/>
          <w:iCs/>
          <w:sz w:val="20"/>
          <w:szCs w:val="20"/>
          <w:lang w:val="en-GB"/>
        </w:rPr>
        <w:t>ramosissima</w:t>
      </w:r>
      <w:proofErr w:type="spellEnd"/>
      <w:r w:rsidRPr="005D01B5">
        <w:rPr>
          <w:rFonts w:ascii="Times New Roman" w:hAnsi="Times New Roman"/>
          <w:i/>
          <w:iCs/>
          <w:sz w:val="20"/>
          <w:szCs w:val="20"/>
          <w:lang w:val="en-GB"/>
        </w:rPr>
        <w:t>,</w:t>
      </w:r>
      <w:r w:rsidRPr="005D01B5">
        <w:rPr>
          <w:rFonts w:ascii="Times New Roman" w:hAnsi="Times New Roman"/>
          <w:sz w:val="20"/>
          <w:szCs w:val="20"/>
          <w:lang w:val="en-GB"/>
        </w:rPr>
        <w:t xml:space="preserve"> </w:t>
      </w:r>
      <w:r w:rsidRPr="005D01B5">
        <w:rPr>
          <w:rFonts w:ascii="Times New Roman" w:hAnsi="Times New Roman"/>
          <w:i/>
          <w:iCs/>
          <w:sz w:val="20"/>
          <w:szCs w:val="20"/>
          <w:lang w:val="en-GB"/>
        </w:rPr>
        <w:t>Melaleuca alternifolia</w:t>
      </w:r>
      <w:r w:rsidRPr="005D01B5">
        <w:rPr>
          <w:rFonts w:ascii="Times New Roman" w:hAnsi="Times New Roman"/>
          <w:sz w:val="20"/>
          <w:szCs w:val="20"/>
          <w:lang w:val="en-GB"/>
        </w:rPr>
        <w:t xml:space="preserve">, and </w:t>
      </w:r>
      <w:r w:rsidRPr="005D01B5">
        <w:rPr>
          <w:rFonts w:ascii="Times New Roman" w:hAnsi="Times New Roman"/>
          <w:i/>
          <w:iCs/>
          <w:sz w:val="20"/>
          <w:szCs w:val="20"/>
          <w:lang w:val="en-GB"/>
        </w:rPr>
        <w:t>Chelidonium majus</w:t>
      </w:r>
      <w:r w:rsidRPr="005D01B5">
        <w:rPr>
          <w:rFonts w:ascii="Times New Roman" w:hAnsi="Times New Roman"/>
          <w:sz w:val="20"/>
          <w:szCs w:val="20"/>
          <w:lang w:val="en-GB"/>
        </w:rPr>
        <w:t xml:space="preserve">, with low MIC values and, in some cases, a bactericidal effect (especially on </w:t>
      </w:r>
      <w:r w:rsidRPr="005D01B5">
        <w:rPr>
          <w:rFonts w:ascii="Times New Roman" w:hAnsi="Times New Roman"/>
          <w:i/>
          <w:iCs/>
          <w:sz w:val="20"/>
          <w:szCs w:val="20"/>
          <w:lang w:val="en-GB"/>
        </w:rPr>
        <w:t>MRSA, E. faecalis, C. perfringens, P. aeruginosa, K. pneumoniae</w:t>
      </w:r>
      <w:r w:rsidRPr="005D01B5">
        <w:rPr>
          <w:rFonts w:ascii="Times New Roman" w:hAnsi="Times New Roman"/>
          <w:sz w:val="20"/>
          <w:szCs w:val="20"/>
          <w:lang w:val="en-GB"/>
        </w:rPr>
        <w:t xml:space="preserve">). Extracts from </w:t>
      </w:r>
      <w:r w:rsidRPr="005D01B5">
        <w:rPr>
          <w:rFonts w:ascii="Times New Roman" w:hAnsi="Times New Roman"/>
          <w:i/>
          <w:iCs/>
          <w:sz w:val="20"/>
          <w:szCs w:val="20"/>
          <w:lang w:val="en-GB"/>
        </w:rPr>
        <w:t xml:space="preserve">T. </w:t>
      </w:r>
      <w:proofErr w:type="spellStart"/>
      <w:r w:rsidRPr="005D01B5">
        <w:rPr>
          <w:rFonts w:ascii="Times New Roman" w:hAnsi="Times New Roman"/>
          <w:i/>
          <w:iCs/>
          <w:sz w:val="20"/>
          <w:szCs w:val="20"/>
          <w:lang w:val="en-GB"/>
        </w:rPr>
        <w:t>ramosissima</w:t>
      </w:r>
      <w:proofErr w:type="spellEnd"/>
      <w:r w:rsidRPr="005D01B5">
        <w:rPr>
          <w:rFonts w:ascii="Times New Roman" w:hAnsi="Times New Roman"/>
          <w:i/>
          <w:iCs/>
          <w:sz w:val="20"/>
          <w:szCs w:val="20"/>
          <w:lang w:val="en-GB"/>
        </w:rPr>
        <w:t>, C. majus</w:t>
      </w:r>
      <w:r w:rsidRPr="005D01B5">
        <w:rPr>
          <w:rFonts w:ascii="Times New Roman" w:hAnsi="Times New Roman"/>
          <w:sz w:val="20"/>
          <w:szCs w:val="20"/>
          <w:lang w:val="en-GB"/>
        </w:rPr>
        <w:t xml:space="preserve">, and </w:t>
      </w:r>
      <w:r w:rsidRPr="005D01B5">
        <w:rPr>
          <w:rFonts w:ascii="Times New Roman" w:hAnsi="Times New Roman"/>
          <w:i/>
          <w:iCs/>
          <w:sz w:val="20"/>
          <w:szCs w:val="20"/>
          <w:lang w:val="en-GB"/>
        </w:rPr>
        <w:t>C. longa</w:t>
      </w:r>
      <w:r w:rsidRPr="005D01B5">
        <w:rPr>
          <w:rFonts w:ascii="Times New Roman" w:hAnsi="Times New Roman"/>
          <w:sz w:val="20"/>
          <w:szCs w:val="20"/>
          <w:lang w:val="en-GB"/>
        </w:rPr>
        <w:t xml:space="preserve"> inhibit both initial adhe</w:t>
      </w:r>
      <w:r>
        <w:rPr>
          <w:rFonts w:ascii="Times New Roman" w:hAnsi="Times New Roman"/>
          <w:sz w:val="20"/>
          <w:szCs w:val="20"/>
          <w:lang w:val="en-GB"/>
        </w:rPr>
        <w:t>rence</w:t>
      </w:r>
      <w:r w:rsidRPr="005D01B5">
        <w:rPr>
          <w:rFonts w:ascii="Times New Roman" w:hAnsi="Times New Roman"/>
          <w:sz w:val="20"/>
          <w:szCs w:val="20"/>
          <w:lang w:val="en-GB"/>
        </w:rPr>
        <w:t xml:space="preserve"> and mature biofilms, reducing biomass and metabolic activity and affecting the EPS matrix. A clear correlation was obtained between the antibacterial and antibiofilm effects. The selected extracts were tested on tumour cell lines (SK-Mel28, A431) and normal cell lines (CCD, </w:t>
      </w:r>
      <w:proofErr w:type="spellStart"/>
      <w:r w:rsidRPr="005D01B5">
        <w:rPr>
          <w:rFonts w:ascii="Times New Roman" w:hAnsi="Times New Roman"/>
          <w:sz w:val="20"/>
          <w:szCs w:val="20"/>
          <w:lang w:val="en-GB"/>
        </w:rPr>
        <w:t>HaCaT</w:t>
      </w:r>
      <w:proofErr w:type="spellEnd"/>
      <w:r w:rsidRPr="005D01B5">
        <w:rPr>
          <w:rFonts w:ascii="Times New Roman" w:hAnsi="Times New Roman"/>
          <w:sz w:val="20"/>
          <w:szCs w:val="20"/>
          <w:lang w:val="en-GB"/>
        </w:rPr>
        <w:t xml:space="preserve">) using MTT and LDH assays. More pronounced selective cytotoxicity against </w:t>
      </w:r>
      <w:proofErr w:type="spellStart"/>
      <w:r w:rsidRPr="005D01B5">
        <w:rPr>
          <w:rFonts w:ascii="Times New Roman" w:hAnsi="Times New Roman"/>
          <w:sz w:val="20"/>
          <w:szCs w:val="20"/>
          <w:lang w:val="en-GB"/>
        </w:rPr>
        <w:t>tumor</w:t>
      </w:r>
      <w:proofErr w:type="spellEnd"/>
      <w:r w:rsidRPr="005D01B5">
        <w:rPr>
          <w:rFonts w:ascii="Times New Roman" w:hAnsi="Times New Roman"/>
          <w:sz w:val="20"/>
          <w:szCs w:val="20"/>
          <w:lang w:val="en-GB"/>
        </w:rPr>
        <w:t xml:space="preserve"> cells was observed for extracts from </w:t>
      </w:r>
      <w:r w:rsidRPr="005D01B5">
        <w:rPr>
          <w:rFonts w:ascii="Times New Roman" w:hAnsi="Times New Roman"/>
          <w:i/>
          <w:iCs/>
          <w:sz w:val="20"/>
          <w:szCs w:val="20"/>
          <w:lang w:val="en-GB"/>
        </w:rPr>
        <w:t>M. alternifolia, C. longa, L. angustifolia</w:t>
      </w:r>
      <w:r w:rsidRPr="005D01B5">
        <w:rPr>
          <w:rFonts w:ascii="Times New Roman" w:hAnsi="Times New Roman"/>
          <w:sz w:val="20"/>
          <w:szCs w:val="20"/>
          <w:lang w:val="en-GB"/>
        </w:rPr>
        <w:t xml:space="preserve">, and </w:t>
      </w:r>
      <w:r w:rsidRPr="005D01B5">
        <w:rPr>
          <w:rFonts w:ascii="Times New Roman" w:hAnsi="Times New Roman"/>
          <w:i/>
          <w:iCs/>
          <w:sz w:val="20"/>
          <w:szCs w:val="20"/>
          <w:lang w:val="en-GB"/>
        </w:rPr>
        <w:t xml:space="preserve">T. </w:t>
      </w:r>
      <w:proofErr w:type="spellStart"/>
      <w:r w:rsidRPr="005D01B5">
        <w:rPr>
          <w:rFonts w:ascii="Times New Roman" w:hAnsi="Times New Roman"/>
          <w:i/>
          <w:iCs/>
          <w:sz w:val="20"/>
          <w:szCs w:val="20"/>
          <w:lang w:val="en-GB"/>
        </w:rPr>
        <w:t>ramosissima</w:t>
      </w:r>
      <w:proofErr w:type="spellEnd"/>
      <w:r w:rsidRPr="005D01B5">
        <w:rPr>
          <w:rFonts w:ascii="Times New Roman" w:hAnsi="Times New Roman"/>
          <w:sz w:val="20"/>
          <w:szCs w:val="20"/>
          <w:lang w:val="en-GB"/>
        </w:rPr>
        <w:t>. Thr</w:t>
      </w:r>
      <w:r>
        <w:rPr>
          <w:rFonts w:ascii="Times New Roman" w:hAnsi="Times New Roman"/>
          <w:sz w:val="20"/>
          <w:szCs w:val="20"/>
          <w:lang w:val="en-GB"/>
        </w:rPr>
        <w:t>ough</w:t>
      </w:r>
      <w:r w:rsidRPr="005D01B5">
        <w:rPr>
          <w:rFonts w:ascii="Times New Roman" w:hAnsi="Times New Roman"/>
          <w:sz w:val="20"/>
          <w:szCs w:val="20"/>
          <w:lang w:val="en-GB"/>
        </w:rPr>
        <w:t xml:space="preserve"> </w:t>
      </w:r>
      <w:r w:rsidRPr="005D01B5">
        <w:rPr>
          <w:rFonts w:ascii="Times New Roman" w:hAnsi="Times New Roman"/>
          <w:i/>
          <w:iCs/>
          <w:sz w:val="20"/>
          <w:szCs w:val="20"/>
          <w:lang w:val="en-GB"/>
        </w:rPr>
        <w:t xml:space="preserve">in silico </w:t>
      </w:r>
      <w:r w:rsidRPr="005D01B5">
        <w:rPr>
          <w:rFonts w:ascii="Times New Roman" w:hAnsi="Times New Roman"/>
          <w:sz w:val="20"/>
          <w:szCs w:val="20"/>
          <w:lang w:val="en-GB"/>
        </w:rPr>
        <w:t xml:space="preserve">analyses, compounds with a very </w:t>
      </w:r>
      <w:proofErr w:type="spellStart"/>
      <w:r w:rsidRPr="005D01B5">
        <w:rPr>
          <w:rFonts w:ascii="Times New Roman" w:hAnsi="Times New Roman"/>
          <w:sz w:val="20"/>
          <w:szCs w:val="20"/>
          <w:lang w:val="en-GB"/>
        </w:rPr>
        <w:t>favorable</w:t>
      </w:r>
      <w:proofErr w:type="spellEnd"/>
      <w:r w:rsidRPr="005D01B5">
        <w:rPr>
          <w:rFonts w:ascii="Times New Roman" w:hAnsi="Times New Roman"/>
          <w:sz w:val="20"/>
          <w:szCs w:val="20"/>
          <w:lang w:val="en-GB"/>
        </w:rPr>
        <w:t xml:space="preserve"> profile for topical administration (e.g., </w:t>
      </w:r>
      <w:proofErr w:type="spellStart"/>
      <w:r w:rsidRPr="005D01B5">
        <w:rPr>
          <w:rFonts w:ascii="Times New Roman" w:hAnsi="Times New Roman"/>
          <w:sz w:val="20"/>
          <w:szCs w:val="20"/>
          <w:lang w:val="en-GB"/>
        </w:rPr>
        <w:t>triterpenic</w:t>
      </w:r>
      <w:proofErr w:type="spellEnd"/>
      <w:r w:rsidRPr="005D01B5">
        <w:rPr>
          <w:rFonts w:ascii="Times New Roman" w:hAnsi="Times New Roman"/>
          <w:sz w:val="20"/>
          <w:szCs w:val="20"/>
          <w:lang w:val="en-GB"/>
        </w:rPr>
        <w:t xml:space="preserve"> acids, curcuminoids, selected flavonoids – isorhamnetin, hispidulin, </w:t>
      </w:r>
      <w:proofErr w:type="spellStart"/>
      <w:r w:rsidRPr="005D01B5">
        <w:rPr>
          <w:rFonts w:ascii="Times New Roman" w:hAnsi="Times New Roman"/>
          <w:sz w:val="20"/>
          <w:szCs w:val="20"/>
          <w:lang w:val="en-GB"/>
        </w:rPr>
        <w:t>cirsimaritin</w:t>
      </w:r>
      <w:proofErr w:type="spellEnd"/>
      <w:r w:rsidRPr="005D01B5">
        <w:rPr>
          <w:rFonts w:ascii="Times New Roman" w:hAnsi="Times New Roman"/>
          <w:sz w:val="20"/>
          <w:szCs w:val="20"/>
          <w:lang w:val="en-GB"/>
        </w:rPr>
        <w:t xml:space="preserve">, </w:t>
      </w:r>
      <w:proofErr w:type="spellStart"/>
      <w:r w:rsidRPr="005D01B5">
        <w:rPr>
          <w:rFonts w:ascii="Times New Roman" w:hAnsi="Times New Roman"/>
          <w:sz w:val="20"/>
          <w:szCs w:val="20"/>
          <w:lang w:val="en-GB"/>
        </w:rPr>
        <w:t>tamarixetin</w:t>
      </w:r>
      <w:proofErr w:type="spellEnd"/>
      <w:r w:rsidRPr="005D01B5">
        <w:rPr>
          <w:rFonts w:ascii="Times New Roman" w:hAnsi="Times New Roman"/>
          <w:sz w:val="20"/>
          <w:szCs w:val="20"/>
          <w:lang w:val="en-GB"/>
        </w:rPr>
        <w:t xml:space="preserve">, </w:t>
      </w:r>
      <w:proofErr w:type="spellStart"/>
      <w:r w:rsidRPr="005D01B5">
        <w:rPr>
          <w:rFonts w:ascii="Times New Roman" w:hAnsi="Times New Roman"/>
          <w:sz w:val="20"/>
          <w:szCs w:val="20"/>
          <w:lang w:val="en-GB"/>
        </w:rPr>
        <w:t>demethoxycurcumin</w:t>
      </w:r>
      <w:proofErr w:type="spellEnd"/>
      <w:r w:rsidRPr="005D01B5">
        <w:rPr>
          <w:rFonts w:ascii="Times New Roman" w:hAnsi="Times New Roman"/>
          <w:sz w:val="20"/>
          <w:szCs w:val="20"/>
          <w:lang w:val="en-GB"/>
        </w:rPr>
        <w:t xml:space="preserve">, bisdemethoxycurcumin, </w:t>
      </w:r>
      <w:proofErr w:type="spellStart"/>
      <w:r w:rsidRPr="005D01B5">
        <w:rPr>
          <w:rFonts w:ascii="Times New Roman" w:hAnsi="Times New Roman"/>
          <w:sz w:val="20"/>
          <w:szCs w:val="20"/>
          <w:lang w:val="en-GB"/>
        </w:rPr>
        <w:t>ar</w:t>
      </w:r>
      <w:proofErr w:type="spellEnd"/>
      <w:r w:rsidRPr="005D01B5">
        <w:rPr>
          <w:rFonts w:ascii="Times New Roman" w:hAnsi="Times New Roman"/>
          <w:sz w:val="20"/>
          <w:szCs w:val="20"/>
          <w:lang w:val="en-GB"/>
        </w:rPr>
        <w:t>-turmerone) were identified, with reasonable synthetic accessibility and controlled toxicological risk, which will be prioritized for formulation.</w:t>
      </w:r>
    </w:p>
    <w:p w14:paraId="16B70CC4" w14:textId="602EA206" w:rsidR="005D01B5" w:rsidRPr="005D01B5" w:rsidRDefault="005D01B5" w:rsidP="005D01B5">
      <w:pPr>
        <w:ind w:firstLine="720"/>
        <w:jc w:val="both"/>
        <w:rPr>
          <w:rFonts w:ascii="Times New Roman" w:hAnsi="Times New Roman"/>
          <w:sz w:val="20"/>
          <w:szCs w:val="20"/>
          <w:lang w:val="en-GB"/>
        </w:rPr>
      </w:pPr>
      <w:r w:rsidRPr="005D01B5">
        <w:rPr>
          <w:rFonts w:ascii="Times New Roman" w:hAnsi="Times New Roman"/>
          <w:sz w:val="20"/>
          <w:szCs w:val="20"/>
          <w:lang w:val="en-GB"/>
        </w:rPr>
        <w:t xml:space="preserve">Accelerated stability and photostability studies on </w:t>
      </w:r>
      <w:r>
        <w:rPr>
          <w:rFonts w:ascii="Times New Roman" w:hAnsi="Times New Roman"/>
          <w:sz w:val="20"/>
          <w:szCs w:val="20"/>
          <w:lang w:val="en-GB"/>
        </w:rPr>
        <w:t>freeze-dried</w:t>
      </w:r>
      <w:r w:rsidRPr="005D01B5">
        <w:rPr>
          <w:rFonts w:ascii="Times New Roman" w:hAnsi="Times New Roman"/>
          <w:sz w:val="20"/>
          <w:szCs w:val="20"/>
          <w:lang w:val="en-GB"/>
        </w:rPr>
        <w:t xml:space="preserve"> extracts confirmed a stable overall chemical structure, relatively well-maintained antimicrobial activity, but with a progressive decrease in polyphenol content and antioxidant capacity. Optimal storage conditions have been established (opaque, airtight packaging, &lt;25 °C, protected from light) and an estimated shelf life of 6 months at room temperature, extendable to 12 months under refrigeration.</w:t>
      </w:r>
    </w:p>
    <w:p w14:paraId="0771732E" w14:textId="674F2BBB" w:rsidR="005D01B5" w:rsidRPr="005D01B5" w:rsidRDefault="005D01B5" w:rsidP="005D01B5">
      <w:pPr>
        <w:ind w:firstLine="720"/>
        <w:jc w:val="both"/>
        <w:rPr>
          <w:rFonts w:ascii="Times New Roman" w:hAnsi="Times New Roman"/>
          <w:sz w:val="20"/>
          <w:szCs w:val="20"/>
          <w:lang w:val="en-GB"/>
        </w:rPr>
      </w:pPr>
      <w:r w:rsidRPr="005D01B5">
        <w:rPr>
          <w:rFonts w:ascii="Times New Roman" w:hAnsi="Times New Roman"/>
          <w:sz w:val="20"/>
          <w:szCs w:val="20"/>
          <w:lang w:val="en-GB"/>
        </w:rPr>
        <w:t xml:space="preserve">A "green" method for synthesizing AuNPs functionalized with </w:t>
      </w:r>
      <w:r w:rsidRPr="005D01B5">
        <w:rPr>
          <w:rFonts w:ascii="Times New Roman" w:hAnsi="Times New Roman"/>
          <w:i/>
          <w:iCs/>
          <w:sz w:val="20"/>
          <w:szCs w:val="20"/>
          <w:lang w:val="en-GB"/>
        </w:rPr>
        <w:t>C. officinalis</w:t>
      </w:r>
      <w:r w:rsidRPr="005D01B5">
        <w:rPr>
          <w:rFonts w:ascii="Times New Roman" w:hAnsi="Times New Roman"/>
          <w:sz w:val="20"/>
          <w:szCs w:val="20"/>
          <w:lang w:val="en-GB"/>
        </w:rPr>
        <w:t xml:space="preserve"> extracts has been optimized by controlling the temperature, pH, precursor and extract concentration, as well as the stirring conditions. Spherical/ellipsoidal nanoparticles (≈10–39 nm) were obtained with good </w:t>
      </w:r>
      <w:proofErr w:type="spellStart"/>
      <w:r w:rsidRPr="005D01B5">
        <w:rPr>
          <w:rFonts w:ascii="Times New Roman" w:hAnsi="Times New Roman"/>
          <w:sz w:val="20"/>
          <w:szCs w:val="20"/>
          <w:lang w:val="en-GB"/>
        </w:rPr>
        <w:t>monodispersity</w:t>
      </w:r>
      <w:proofErr w:type="spellEnd"/>
      <w:r w:rsidRPr="005D01B5">
        <w:rPr>
          <w:rFonts w:ascii="Times New Roman" w:hAnsi="Times New Roman"/>
          <w:sz w:val="20"/>
          <w:szCs w:val="20"/>
          <w:lang w:val="en-GB"/>
        </w:rPr>
        <w:t xml:space="preserve"> and colloidal stability at pH 9, characterized by UV-Vis, DLS, zeta potential, and STEM. A semi-automated technological flow was developed for the extraction of type I collagen from bovine tendon, using acid and enzymatic extractions, followed by diafiltration/ultrafiltration and </w:t>
      </w:r>
      <w:r>
        <w:rPr>
          <w:rFonts w:ascii="Times New Roman" w:hAnsi="Times New Roman"/>
          <w:sz w:val="20"/>
          <w:szCs w:val="20"/>
          <w:lang w:val="en-GB"/>
        </w:rPr>
        <w:t>freeze-dry</w:t>
      </w:r>
      <w:r w:rsidR="006D1F33">
        <w:rPr>
          <w:rFonts w:ascii="Times New Roman" w:hAnsi="Times New Roman"/>
          <w:sz w:val="20"/>
          <w:szCs w:val="20"/>
          <w:lang w:val="en-GB"/>
        </w:rPr>
        <w:t>ing</w:t>
      </w:r>
      <w:r w:rsidRPr="005D01B5">
        <w:rPr>
          <w:rFonts w:ascii="Times New Roman" w:hAnsi="Times New Roman"/>
          <w:sz w:val="20"/>
          <w:szCs w:val="20"/>
          <w:lang w:val="en-GB"/>
        </w:rPr>
        <w:t xml:space="preserve">. High-purity collagen (~98.7%) was obtained, confirmed by hydroxyproline content and SDS-PAGE analysis, with pseudoplastic rheological </w:t>
      </w:r>
      <w:r w:rsidR="006D1F33" w:rsidRPr="005D01B5">
        <w:rPr>
          <w:rFonts w:ascii="Times New Roman" w:hAnsi="Times New Roman"/>
          <w:sz w:val="20"/>
          <w:szCs w:val="20"/>
          <w:lang w:val="en-GB"/>
        </w:rPr>
        <w:t>behaviour</w:t>
      </w:r>
      <w:r w:rsidRPr="005D01B5">
        <w:rPr>
          <w:rFonts w:ascii="Times New Roman" w:hAnsi="Times New Roman"/>
          <w:sz w:val="20"/>
          <w:szCs w:val="20"/>
          <w:lang w:val="en-GB"/>
        </w:rPr>
        <w:t xml:space="preserve"> and a porous structure, suitable for the formulation of hydrogels and dressings.</w:t>
      </w:r>
    </w:p>
    <w:p w14:paraId="171D4D60" w14:textId="265C5320" w:rsidR="005D01B5" w:rsidRPr="005D01B5" w:rsidRDefault="005D01B5" w:rsidP="005D01B5">
      <w:pPr>
        <w:ind w:firstLine="720"/>
        <w:jc w:val="both"/>
        <w:rPr>
          <w:rFonts w:ascii="Times New Roman" w:hAnsi="Times New Roman"/>
          <w:sz w:val="20"/>
          <w:szCs w:val="20"/>
          <w:lang w:val="en-GB"/>
        </w:rPr>
      </w:pPr>
      <w:r w:rsidRPr="005D01B5">
        <w:rPr>
          <w:rFonts w:ascii="Times New Roman" w:hAnsi="Times New Roman"/>
          <w:sz w:val="20"/>
          <w:szCs w:val="20"/>
          <w:lang w:val="en-GB"/>
        </w:rPr>
        <w:t>All the planned outcome indicators for the stage were met and exceeded: the updated webpage, the standard extraction procedure, technical data sheets and databases for 5 ISI articles (4 Q1/Q2), 1 BDI article, one ISI article under evaluation, and participation in 5 national and international congresses/conferences were completed.</w:t>
      </w:r>
    </w:p>
    <w:sectPr w:rsidR="005D01B5" w:rsidRPr="005D01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altName w:val="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01"/>
    <w:rsid w:val="003030CC"/>
    <w:rsid w:val="005D01B5"/>
    <w:rsid w:val="006238E0"/>
    <w:rsid w:val="006D1F33"/>
    <w:rsid w:val="006E40AD"/>
    <w:rsid w:val="00754301"/>
    <w:rsid w:val="00782B07"/>
    <w:rsid w:val="00AE5A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B18C5"/>
  <w15:chartTrackingRefBased/>
  <w15:docId w15:val="{58FD095A-9505-4808-A250-C30DA06A4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1B5"/>
    <w:pPr>
      <w:spacing w:after="200" w:line="276" w:lineRule="auto"/>
    </w:pPr>
    <w:rPr>
      <w:rFonts w:ascii="Calibri" w:eastAsia="Calibri" w:hAnsi="Calibri" w:cs="Times New Roman"/>
      <w:kern w:val="0"/>
      <w:sz w:val="22"/>
      <w:szCs w:val="22"/>
      <w:lang w:val="ro-RO"/>
      <w14:ligatures w14:val="none"/>
    </w:rPr>
  </w:style>
  <w:style w:type="paragraph" w:styleId="Titlu1">
    <w:name w:val="heading 1"/>
    <w:basedOn w:val="Normal"/>
    <w:next w:val="Normal"/>
    <w:link w:val="Titlu1Caracter"/>
    <w:uiPriority w:val="9"/>
    <w:qFormat/>
    <w:rsid w:val="00754301"/>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GB"/>
      <w14:ligatures w14:val="standardContextual"/>
    </w:rPr>
  </w:style>
  <w:style w:type="paragraph" w:styleId="Titlu2">
    <w:name w:val="heading 2"/>
    <w:basedOn w:val="Normal"/>
    <w:next w:val="Normal"/>
    <w:link w:val="Titlu2Caracter"/>
    <w:uiPriority w:val="9"/>
    <w:semiHidden/>
    <w:unhideWhenUsed/>
    <w:qFormat/>
    <w:rsid w:val="00754301"/>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GB"/>
      <w14:ligatures w14:val="standardContextual"/>
    </w:rPr>
  </w:style>
  <w:style w:type="paragraph" w:styleId="Titlu3">
    <w:name w:val="heading 3"/>
    <w:basedOn w:val="Normal"/>
    <w:next w:val="Normal"/>
    <w:link w:val="Titlu3Caracter"/>
    <w:uiPriority w:val="9"/>
    <w:semiHidden/>
    <w:unhideWhenUsed/>
    <w:qFormat/>
    <w:rsid w:val="00754301"/>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GB"/>
      <w14:ligatures w14:val="standardContextual"/>
    </w:rPr>
  </w:style>
  <w:style w:type="paragraph" w:styleId="Titlu4">
    <w:name w:val="heading 4"/>
    <w:basedOn w:val="Normal"/>
    <w:next w:val="Normal"/>
    <w:link w:val="Titlu4Caracter"/>
    <w:uiPriority w:val="9"/>
    <w:semiHidden/>
    <w:unhideWhenUsed/>
    <w:qFormat/>
    <w:rsid w:val="00754301"/>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GB"/>
      <w14:ligatures w14:val="standardContextual"/>
    </w:rPr>
  </w:style>
  <w:style w:type="paragraph" w:styleId="Titlu5">
    <w:name w:val="heading 5"/>
    <w:basedOn w:val="Normal"/>
    <w:next w:val="Normal"/>
    <w:link w:val="Titlu5Caracter"/>
    <w:uiPriority w:val="9"/>
    <w:semiHidden/>
    <w:unhideWhenUsed/>
    <w:qFormat/>
    <w:rsid w:val="00754301"/>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GB"/>
      <w14:ligatures w14:val="standardContextual"/>
    </w:rPr>
  </w:style>
  <w:style w:type="paragraph" w:styleId="Titlu6">
    <w:name w:val="heading 6"/>
    <w:basedOn w:val="Normal"/>
    <w:next w:val="Normal"/>
    <w:link w:val="Titlu6Caracter"/>
    <w:uiPriority w:val="9"/>
    <w:semiHidden/>
    <w:unhideWhenUsed/>
    <w:qFormat/>
    <w:rsid w:val="00754301"/>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GB"/>
      <w14:ligatures w14:val="standardContextual"/>
    </w:rPr>
  </w:style>
  <w:style w:type="paragraph" w:styleId="Titlu7">
    <w:name w:val="heading 7"/>
    <w:basedOn w:val="Normal"/>
    <w:next w:val="Normal"/>
    <w:link w:val="Titlu7Caracter"/>
    <w:uiPriority w:val="9"/>
    <w:semiHidden/>
    <w:unhideWhenUsed/>
    <w:qFormat/>
    <w:rsid w:val="00754301"/>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GB"/>
      <w14:ligatures w14:val="standardContextual"/>
    </w:rPr>
  </w:style>
  <w:style w:type="paragraph" w:styleId="Titlu8">
    <w:name w:val="heading 8"/>
    <w:basedOn w:val="Normal"/>
    <w:next w:val="Normal"/>
    <w:link w:val="Titlu8Caracter"/>
    <w:uiPriority w:val="9"/>
    <w:semiHidden/>
    <w:unhideWhenUsed/>
    <w:qFormat/>
    <w:rsid w:val="00754301"/>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GB"/>
      <w14:ligatures w14:val="standardContextual"/>
    </w:rPr>
  </w:style>
  <w:style w:type="paragraph" w:styleId="Titlu9">
    <w:name w:val="heading 9"/>
    <w:basedOn w:val="Normal"/>
    <w:next w:val="Normal"/>
    <w:link w:val="Titlu9Caracter"/>
    <w:uiPriority w:val="9"/>
    <w:semiHidden/>
    <w:unhideWhenUsed/>
    <w:qFormat/>
    <w:rsid w:val="00754301"/>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GB"/>
      <w14:ligatures w14:val="standardContextual"/>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754301"/>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754301"/>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754301"/>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754301"/>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754301"/>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754301"/>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754301"/>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754301"/>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754301"/>
    <w:rPr>
      <w:rFonts w:eastAsiaTheme="majorEastAsia" w:cstheme="majorBidi"/>
      <w:color w:val="272727" w:themeColor="text1" w:themeTint="D8"/>
    </w:rPr>
  </w:style>
  <w:style w:type="paragraph" w:styleId="Titlu">
    <w:name w:val="Title"/>
    <w:basedOn w:val="Normal"/>
    <w:next w:val="Normal"/>
    <w:link w:val="TitluCaracter"/>
    <w:uiPriority w:val="10"/>
    <w:qFormat/>
    <w:rsid w:val="00754301"/>
    <w:pPr>
      <w:spacing w:after="80" w:line="240" w:lineRule="auto"/>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uCaracter">
    <w:name w:val="Titlu Caracter"/>
    <w:basedOn w:val="Fontdeparagrafimplicit"/>
    <w:link w:val="Titlu"/>
    <w:uiPriority w:val="10"/>
    <w:rsid w:val="00754301"/>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75430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uCaracter">
    <w:name w:val="Subtitlu Caracter"/>
    <w:basedOn w:val="Fontdeparagrafimplicit"/>
    <w:link w:val="Subtitlu"/>
    <w:uiPriority w:val="11"/>
    <w:rsid w:val="00754301"/>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754301"/>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14:ligatures w14:val="standardContextual"/>
    </w:rPr>
  </w:style>
  <w:style w:type="character" w:customStyle="1" w:styleId="CitatCaracter">
    <w:name w:val="Citat Caracter"/>
    <w:basedOn w:val="Fontdeparagrafimplicit"/>
    <w:link w:val="Citat"/>
    <w:uiPriority w:val="29"/>
    <w:rsid w:val="00754301"/>
    <w:rPr>
      <w:i/>
      <w:iCs/>
      <w:color w:val="404040" w:themeColor="text1" w:themeTint="BF"/>
    </w:rPr>
  </w:style>
  <w:style w:type="paragraph" w:styleId="Listparagraf">
    <w:name w:val="List Paragraph"/>
    <w:basedOn w:val="Normal"/>
    <w:uiPriority w:val="34"/>
    <w:qFormat/>
    <w:rsid w:val="00754301"/>
    <w:pPr>
      <w:spacing w:after="160" w:line="278" w:lineRule="auto"/>
      <w:ind w:left="720"/>
      <w:contextualSpacing/>
    </w:pPr>
    <w:rPr>
      <w:rFonts w:asciiTheme="minorHAnsi" w:eastAsiaTheme="minorHAnsi" w:hAnsiTheme="minorHAnsi" w:cstheme="minorBidi"/>
      <w:kern w:val="2"/>
      <w:sz w:val="24"/>
      <w:szCs w:val="24"/>
      <w:lang w:val="en-GB"/>
      <w14:ligatures w14:val="standardContextual"/>
    </w:rPr>
  </w:style>
  <w:style w:type="character" w:styleId="Accentuareintens">
    <w:name w:val="Intense Emphasis"/>
    <w:basedOn w:val="Fontdeparagrafimplicit"/>
    <w:uiPriority w:val="21"/>
    <w:qFormat/>
    <w:rsid w:val="00754301"/>
    <w:rPr>
      <w:i/>
      <w:iCs/>
      <w:color w:val="2F5496" w:themeColor="accent1" w:themeShade="BF"/>
    </w:rPr>
  </w:style>
  <w:style w:type="paragraph" w:styleId="Citatintens">
    <w:name w:val="Intense Quote"/>
    <w:basedOn w:val="Normal"/>
    <w:next w:val="Normal"/>
    <w:link w:val="CitatintensCaracter"/>
    <w:uiPriority w:val="30"/>
    <w:qFormat/>
    <w:rsid w:val="00754301"/>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GB"/>
      <w14:ligatures w14:val="standardContextual"/>
    </w:rPr>
  </w:style>
  <w:style w:type="character" w:customStyle="1" w:styleId="CitatintensCaracter">
    <w:name w:val="Citat intens Caracter"/>
    <w:basedOn w:val="Fontdeparagrafimplicit"/>
    <w:link w:val="Citatintens"/>
    <w:uiPriority w:val="30"/>
    <w:rsid w:val="00754301"/>
    <w:rPr>
      <w:i/>
      <w:iCs/>
      <w:color w:val="2F5496" w:themeColor="accent1" w:themeShade="BF"/>
    </w:rPr>
  </w:style>
  <w:style w:type="character" w:styleId="Referireintens">
    <w:name w:val="Intense Reference"/>
    <w:basedOn w:val="Fontdeparagrafimplicit"/>
    <w:uiPriority w:val="32"/>
    <w:qFormat/>
    <w:rsid w:val="007543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ioana marinas</dc:creator>
  <cp:keywords/>
  <dc:description/>
  <cp:lastModifiedBy>IRINA ORLANDEA</cp:lastModifiedBy>
  <cp:revision>2</cp:revision>
  <dcterms:created xsi:type="dcterms:W3CDTF">2025-12-02T09:02:00Z</dcterms:created>
  <dcterms:modified xsi:type="dcterms:W3CDTF">2025-12-02T09:02:00Z</dcterms:modified>
</cp:coreProperties>
</file>